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0E9" w:rsidRPr="00B14896" w:rsidRDefault="001520E9" w:rsidP="001520E9">
      <w:pPr>
        <w:pStyle w:val="normalprored"/>
        <w:rPr>
          <w:rFonts w:asciiTheme="minorHAnsi" w:hAnsiTheme="minorHAnsi"/>
          <w:sz w:val="20"/>
          <w:szCs w:val="20"/>
        </w:rPr>
      </w:pPr>
      <w:r w:rsidRPr="00B14896">
        <w:rPr>
          <w:rFonts w:asciiTheme="minorHAnsi" w:hAnsiTheme="minorHAnsi"/>
          <w:sz w:val="20"/>
          <w:szCs w:val="20"/>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05" w:type="dxa"/>
          <w:left w:w="105" w:type="dxa"/>
          <w:bottom w:w="105" w:type="dxa"/>
          <w:right w:w="105" w:type="dxa"/>
        </w:tblCellMar>
        <w:tblLook w:val="04A0" w:firstRow="1" w:lastRow="0" w:firstColumn="1" w:lastColumn="0" w:noHBand="0" w:noVBand="1"/>
      </w:tblPr>
      <w:tblGrid>
        <w:gridCol w:w="9128"/>
      </w:tblGrid>
      <w:tr w:rsidR="001520E9" w:rsidRPr="00B14896" w:rsidTr="008726F0">
        <w:trPr>
          <w:tblCellSpacing w:w="0" w:type="dxa"/>
        </w:trPr>
        <w:tc>
          <w:tcPr>
            <w:tcW w:w="0" w:type="auto"/>
            <w:tcBorders>
              <w:top w:val="nil"/>
              <w:left w:val="nil"/>
              <w:bottom w:val="nil"/>
              <w:right w:val="nil"/>
            </w:tcBorders>
            <w:hideMark/>
          </w:tcPr>
          <w:p w:rsidR="001520E9" w:rsidRPr="00B14896" w:rsidRDefault="001520E9" w:rsidP="008726F0">
            <w:pPr>
              <w:pStyle w:val="Normal1"/>
              <w:rPr>
                <w:rFonts w:asciiTheme="minorHAnsi" w:hAnsiTheme="minorHAnsi"/>
                <w:sz w:val="20"/>
                <w:szCs w:val="20"/>
              </w:rPr>
            </w:pPr>
            <w:r w:rsidRPr="00B14896">
              <w:rPr>
                <w:rFonts w:asciiTheme="minorHAnsi" w:hAnsiTheme="minorHAnsi"/>
                <w:sz w:val="20"/>
                <w:szCs w:val="20"/>
              </w:rPr>
              <w:t xml:space="preserve">  </w:t>
            </w:r>
          </w:p>
          <w:p w:rsidR="001520E9" w:rsidRPr="00B14896" w:rsidRDefault="001520E9" w:rsidP="008726F0">
            <w:pPr>
              <w:pStyle w:val="wyq080---odsek"/>
              <w:rPr>
                <w:rFonts w:asciiTheme="minorHAnsi" w:hAnsiTheme="minorHAnsi"/>
                <w:sz w:val="20"/>
                <w:szCs w:val="20"/>
              </w:rPr>
            </w:pPr>
            <w:bookmarkStart w:id="0" w:name="str_1"/>
            <w:bookmarkEnd w:id="0"/>
            <w:r w:rsidRPr="00B14896">
              <w:rPr>
                <w:rFonts w:asciiTheme="minorHAnsi" w:hAnsiTheme="minorHAnsi"/>
                <w:sz w:val="20"/>
                <w:szCs w:val="20"/>
              </w:rPr>
              <w:t>РЕГИСТАР</w:t>
            </w:r>
            <w:r w:rsidRPr="00B14896">
              <w:rPr>
                <w:rFonts w:asciiTheme="minorHAnsi" w:hAnsiTheme="minorHAnsi"/>
                <w:sz w:val="20"/>
                <w:szCs w:val="20"/>
              </w:rPr>
              <w:br/>
              <w:t xml:space="preserve">ИЗДАТИХ ДОЗВОЛА ЗА САКУПЉАЊЕ, ТРАНСПОРТ, СКЛАДИШТЕЊЕ, ТРЕТМАН И ОДЛАГАЊЕ ОТПАДА </w:t>
            </w:r>
          </w:p>
          <w:p w:rsidR="001520E9" w:rsidRPr="00B14896" w:rsidRDefault="001520E9" w:rsidP="008726F0">
            <w:pPr>
              <w:pStyle w:val="normalprored"/>
              <w:rPr>
                <w:rFonts w:asciiTheme="minorHAnsi" w:hAnsiTheme="minorHAnsi"/>
                <w:sz w:val="20"/>
                <w:szCs w:val="20"/>
              </w:rPr>
            </w:pPr>
            <w:r w:rsidRPr="00B14896">
              <w:rPr>
                <w:rFonts w:asciiTheme="minorHAnsi" w:hAnsiTheme="minorHAnsi"/>
                <w:sz w:val="20"/>
                <w:szCs w:val="20"/>
              </w:rPr>
              <w:t xml:space="preserve">  </w:t>
            </w:r>
          </w:p>
          <w:tbl>
            <w:tblPr>
              <w:tblW w:w="8676" w:type="dxa"/>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63"/>
              <w:gridCol w:w="4200"/>
              <w:gridCol w:w="4339"/>
            </w:tblGrid>
            <w:tr w:rsidR="001520E9" w:rsidRPr="00B14896" w:rsidTr="008726F0">
              <w:trPr>
                <w:tblCellSpacing w:w="0" w:type="dxa"/>
              </w:trPr>
              <w:tc>
                <w:tcPr>
                  <w:tcW w:w="201" w:type="pct"/>
                  <w:tcBorders>
                    <w:top w:val="outset" w:sz="6" w:space="0" w:color="auto"/>
                    <w:left w:val="outset" w:sz="6" w:space="0" w:color="auto"/>
                    <w:bottom w:val="outset" w:sz="6" w:space="0" w:color="auto"/>
                    <w:right w:val="outset" w:sz="6" w:space="0" w:color="auto"/>
                  </w:tcBorders>
                  <w:hideMark/>
                </w:tcPr>
                <w:p w:rsidR="001520E9" w:rsidRPr="00B14896" w:rsidRDefault="001520E9" w:rsidP="008726F0">
                  <w:pPr>
                    <w:pStyle w:val="normaltd"/>
                    <w:rPr>
                      <w:rFonts w:asciiTheme="minorHAnsi" w:hAnsiTheme="minorHAnsi"/>
                      <w:sz w:val="20"/>
                      <w:szCs w:val="20"/>
                    </w:rPr>
                  </w:pPr>
                  <w:r w:rsidRPr="00B14896">
                    <w:rPr>
                      <w:rFonts w:asciiTheme="minorHAnsi" w:hAnsiTheme="minorHAnsi"/>
                      <w:sz w:val="20"/>
                      <w:szCs w:val="20"/>
                    </w:rPr>
                    <w:t xml:space="preserve">1. </w:t>
                  </w:r>
                </w:p>
              </w:tc>
              <w:tc>
                <w:tcPr>
                  <w:tcW w:w="4799" w:type="pct"/>
                  <w:gridSpan w:val="2"/>
                  <w:tcBorders>
                    <w:top w:val="outset" w:sz="6" w:space="0" w:color="auto"/>
                    <w:left w:val="outset" w:sz="6" w:space="0" w:color="auto"/>
                    <w:bottom w:val="outset" w:sz="6" w:space="0" w:color="auto"/>
                    <w:right w:val="outset" w:sz="6" w:space="0" w:color="auto"/>
                  </w:tcBorders>
                  <w:hideMark/>
                </w:tcPr>
                <w:p w:rsidR="001520E9" w:rsidRPr="00B14896" w:rsidRDefault="001520E9" w:rsidP="008726F0">
                  <w:pPr>
                    <w:pStyle w:val="Normal1"/>
                    <w:rPr>
                      <w:rFonts w:asciiTheme="minorHAnsi" w:hAnsiTheme="minorHAnsi"/>
                      <w:sz w:val="20"/>
                      <w:szCs w:val="20"/>
                      <w:lang w:val="sr-Cyrl-RS"/>
                    </w:rPr>
                  </w:pPr>
                  <w:r w:rsidRPr="00B14896">
                    <w:rPr>
                      <w:rFonts w:asciiTheme="minorHAnsi" w:hAnsiTheme="minorHAnsi"/>
                      <w:sz w:val="20"/>
                      <w:szCs w:val="20"/>
                    </w:rPr>
                    <w:t xml:space="preserve">Регистарски број: </w:t>
                  </w:r>
                  <w:r w:rsidRPr="00B14896">
                    <w:rPr>
                      <w:rFonts w:asciiTheme="minorHAnsi" w:hAnsiTheme="minorHAnsi"/>
                      <w:sz w:val="20"/>
                      <w:szCs w:val="20"/>
                    </w:rPr>
                    <w:t>185/1</w:t>
                  </w:r>
                </w:p>
              </w:tc>
            </w:tr>
            <w:tr w:rsidR="001520E9" w:rsidRPr="00B14896" w:rsidTr="008726F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520E9" w:rsidRPr="00B14896" w:rsidRDefault="001520E9" w:rsidP="008726F0">
                  <w:pPr>
                    <w:pStyle w:val="normaltd"/>
                    <w:rPr>
                      <w:rFonts w:asciiTheme="minorHAnsi" w:hAnsiTheme="minorHAnsi"/>
                      <w:sz w:val="20"/>
                      <w:szCs w:val="20"/>
                    </w:rPr>
                  </w:pPr>
                  <w:r w:rsidRPr="00B14896">
                    <w:rPr>
                      <w:rFonts w:asciiTheme="minorHAnsi" w:hAnsiTheme="minorHAnsi"/>
                      <w:sz w:val="20"/>
                      <w:szCs w:val="20"/>
                    </w:rPr>
                    <w:t xml:space="preserve">2. </w:t>
                  </w:r>
                </w:p>
              </w:tc>
              <w:tc>
                <w:tcPr>
                  <w:tcW w:w="4799" w:type="pct"/>
                  <w:gridSpan w:val="2"/>
                  <w:tcBorders>
                    <w:top w:val="outset" w:sz="6" w:space="0" w:color="auto"/>
                    <w:left w:val="outset" w:sz="6" w:space="0" w:color="auto"/>
                    <w:bottom w:val="outset" w:sz="6" w:space="0" w:color="auto"/>
                    <w:right w:val="outset" w:sz="6" w:space="0" w:color="auto"/>
                  </w:tcBorders>
                  <w:hideMark/>
                </w:tcPr>
                <w:p w:rsidR="001520E9" w:rsidRPr="00B14896" w:rsidRDefault="001520E9" w:rsidP="008726F0">
                  <w:pPr>
                    <w:pStyle w:val="Normal1"/>
                    <w:rPr>
                      <w:rFonts w:asciiTheme="minorHAnsi" w:hAnsiTheme="minorHAnsi"/>
                      <w:sz w:val="20"/>
                      <w:szCs w:val="20"/>
                      <w:lang w:val="sr-Cyrl-RS"/>
                    </w:rPr>
                  </w:pPr>
                  <w:r w:rsidRPr="00B14896">
                    <w:rPr>
                      <w:rFonts w:asciiTheme="minorHAnsi" w:hAnsiTheme="minorHAnsi"/>
                      <w:sz w:val="20"/>
                      <w:szCs w:val="20"/>
                    </w:rPr>
                    <w:t xml:space="preserve">Број досијеа: </w:t>
                  </w:r>
                  <w:r w:rsidRPr="00B14896">
                    <w:rPr>
                      <w:rFonts w:asciiTheme="minorHAnsi" w:hAnsiTheme="minorHAnsi" w:cstheme="minorHAnsi"/>
                      <w:color w:val="000000"/>
                      <w:sz w:val="20"/>
                      <w:szCs w:val="20"/>
                      <w:lang w:val="sr-Latn-RS"/>
                    </w:rPr>
                    <w:t>000580823 2024 09415 005 001 000 001 01 001</w:t>
                  </w:r>
                </w:p>
              </w:tc>
            </w:tr>
            <w:tr w:rsidR="001520E9" w:rsidRPr="00B14896" w:rsidTr="008726F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520E9" w:rsidRPr="00B14896" w:rsidRDefault="001520E9" w:rsidP="008726F0">
                  <w:pPr>
                    <w:pStyle w:val="normaltd"/>
                    <w:rPr>
                      <w:rFonts w:asciiTheme="minorHAnsi" w:hAnsiTheme="minorHAnsi"/>
                      <w:sz w:val="20"/>
                      <w:szCs w:val="20"/>
                    </w:rPr>
                  </w:pPr>
                  <w:r w:rsidRPr="00B14896">
                    <w:rPr>
                      <w:rFonts w:asciiTheme="minorHAnsi" w:hAnsiTheme="minorHAnsi"/>
                      <w:sz w:val="20"/>
                      <w:szCs w:val="20"/>
                    </w:rPr>
                    <w:t xml:space="preserve">3. </w:t>
                  </w:r>
                </w:p>
              </w:tc>
              <w:tc>
                <w:tcPr>
                  <w:tcW w:w="2352" w:type="pct"/>
                  <w:tcBorders>
                    <w:top w:val="outset" w:sz="6" w:space="0" w:color="auto"/>
                    <w:left w:val="outset" w:sz="6" w:space="0" w:color="auto"/>
                    <w:bottom w:val="outset" w:sz="6" w:space="0" w:color="auto"/>
                    <w:right w:val="outset" w:sz="6" w:space="0" w:color="auto"/>
                  </w:tcBorders>
                  <w:hideMark/>
                </w:tcPr>
                <w:p w:rsidR="001520E9" w:rsidRPr="00B14896" w:rsidRDefault="001520E9" w:rsidP="008726F0">
                  <w:pPr>
                    <w:pStyle w:val="Normal1"/>
                    <w:rPr>
                      <w:rFonts w:asciiTheme="minorHAnsi" w:hAnsiTheme="minorHAnsi"/>
                      <w:sz w:val="20"/>
                      <w:szCs w:val="20"/>
                    </w:rPr>
                  </w:pPr>
                  <w:r w:rsidRPr="00B14896">
                    <w:rPr>
                      <w:rFonts w:asciiTheme="minorHAnsi" w:hAnsiTheme="minorHAnsi"/>
                      <w:sz w:val="20"/>
                      <w:szCs w:val="20"/>
                    </w:rPr>
                    <w:t xml:space="preserve">Врста дозволе за управљање отпадом </w:t>
                  </w:r>
                </w:p>
              </w:tc>
              <w:tc>
                <w:tcPr>
                  <w:tcW w:w="2447" w:type="pct"/>
                  <w:tcBorders>
                    <w:top w:val="outset" w:sz="6" w:space="0" w:color="auto"/>
                    <w:left w:val="outset" w:sz="6" w:space="0" w:color="auto"/>
                    <w:bottom w:val="outset" w:sz="6" w:space="0" w:color="auto"/>
                    <w:right w:val="outset" w:sz="6" w:space="0" w:color="auto"/>
                  </w:tcBorders>
                  <w:hideMark/>
                </w:tcPr>
                <w:tbl>
                  <w:tblPr>
                    <w:tblW w:w="5000" w:type="pct"/>
                    <w:tblCellSpacing w:w="0" w:type="dxa"/>
                    <w:tblBorders>
                      <w:top w:val="single" w:sz="2" w:space="0" w:color="000000"/>
                      <w:left w:val="single" w:sz="2" w:space="0" w:color="000000"/>
                      <w:bottom w:val="single" w:sz="2" w:space="0" w:color="000000"/>
                      <w:right w:val="single" w:sz="2" w:space="0" w:color="000000"/>
                    </w:tblBorders>
                    <w:tblLook w:val="04A0" w:firstRow="1" w:lastRow="0" w:firstColumn="1" w:lastColumn="0" w:noHBand="0" w:noVBand="1"/>
                  </w:tblPr>
                  <w:tblGrid>
                    <w:gridCol w:w="2742"/>
                    <w:gridCol w:w="1477"/>
                  </w:tblGrid>
                  <w:tr w:rsidR="001520E9" w:rsidRPr="00B14896" w:rsidTr="008726F0">
                    <w:trPr>
                      <w:tblCellSpacing w:w="0" w:type="dxa"/>
                    </w:trPr>
                    <w:tc>
                      <w:tcPr>
                        <w:tcW w:w="3250" w:type="pct"/>
                        <w:tcBorders>
                          <w:top w:val="nil"/>
                          <w:left w:val="nil"/>
                          <w:bottom w:val="nil"/>
                          <w:right w:val="nil"/>
                        </w:tcBorders>
                        <w:tcMar>
                          <w:top w:w="15" w:type="dxa"/>
                          <w:left w:w="15" w:type="dxa"/>
                          <w:bottom w:w="15" w:type="dxa"/>
                          <w:right w:w="15" w:type="dxa"/>
                        </w:tcMar>
                        <w:hideMark/>
                      </w:tcPr>
                      <w:p w:rsidR="001520E9" w:rsidRPr="00B14896" w:rsidRDefault="001520E9" w:rsidP="008726F0">
                        <w:pPr>
                          <w:pStyle w:val="Normal1"/>
                          <w:rPr>
                            <w:rFonts w:asciiTheme="minorHAnsi" w:hAnsiTheme="minorHAnsi"/>
                            <w:sz w:val="20"/>
                            <w:szCs w:val="20"/>
                          </w:rPr>
                        </w:pPr>
                        <w:r w:rsidRPr="00B14896">
                          <w:rPr>
                            <w:rFonts w:asciiTheme="minorHAnsi" w:hAnsiTheme="minorHAnsi"/>
                            <w:sz w:val="20"/>
                            <w:szCs w:val="20"/>
                          </w:rPr>
                          <w:t xml:space="preserve">Сакупљање </w:t>
                        </w:r>
                      </w:p>
                    </w:tc>
                    <w:tc>
                      <w:tcPr>
                        <w:tcW w:w="1750" w:type="pct"/>
                        <w:tcBorders>
                          <w:top w:val="nil"/>
                          <w:left w:val="nil"/>
                          <w:bottom w:val="nil"/>
                          <w:right w:val="nil"/>
                        </w:tcBorders>
                        <w:tcMar>
                          <w:top w:w="15" w:type="dxa"/>
                          <w:left w:w="15" w:type="dxa"/>
                          <w:bottom w:w="15" w:type="dxa"/>
                          <w:right w:w="15" w:type="dxa"/>
                        </w:tcMar>
                        <w:hideMark/>
                      </w:tcPr>
                      <w:p w:rsidR="001520E9" w:rsidRPr="00B14896" w:rsidRDefault="001520E9" w:rsidP="008726F0">
                        <w:pPr>
                          <w:pStyle w:val="webdings"/>
                          <w:rPr>
                            <w:rFonts w:asciiTheme="minorHAnsi" w:hAnsiTheme="minorHAnsi"/>
                            <w:sz w:val="20"/>
                            <w:szCs w:val="20"/>
                          </w:rPr>
                        </w:pPr>
                      </w:p>
                    </w:tc>
                  </w:tr>
                  <w:tr w:rsidR="001520E9" w:rsidRPr="00B14896" w:rsidTr="008726F0">
                    <w:trPr>
                      <w:tblCellSpacing w:w="0" w:type="dxa"/>
                    </w:trPr>
                    <w:tc>
                      <w:tcPr>
                        <w:tcW w:w="3250" w:type="pct"/>
                        <w:tcBorders>
                          <w:top w:val="nil"/>
                          <w:left w:val="nil"/>
                          <w:bottom w:val="nil"/>
                          <w:right w:val="nil"/>
                        </w:tcBorders>
                        <w:tcMar>
                          <w:top w:w="15" w:type="dxa"/>
                          <w:left w:w="15" w:type="dxa"/>
                          <w:bottom w:w="15" w:type="dxa"/>
                          <w:right w:w="15" w:type="dxa"/>
                        </w:tcMar>
                        <w:hideMark/>
                      </w:tcPr>
                      <w:p w:rsidR="001520E9" w:rsidRPr="00B14896" w:rsidRDefault="001520E9" w:rsidP="008726F0">
                        <w:pPr>
                          <w:pStyle w:val="Normal1"/>
                          <w:rPr>
                            <w:rFonts w:asciiTheme="minorHAnsi" w:hAnsiTheme="minorHAnsi"/>
                            <w:sz w:val="20"/>
                            <w:szCs w:val="20"/>
                          </w:rPr>
                        </w:pPr>
                        <w:r w:rsidRPr="00B14896">
                          <w:rPr>
                            <w:rFonts w:asciiTheme="minorHAnsi" w:hAnsiTheme="minorHAnsi"/>
                            <w:sz w:val="20"/>
                            <w:szCs w:val="20"/>
                          </w:rPr>
                          <w:t xml:space="preserve">Транспорт </w:t>
                        </w:r>
                      </w:p>
                    </w:tc>
                    <w:tc>
                      <w:tcPr>
                        <w:tcW w:w="1750" w:type="pct"/>
                        <w:tcBorders>
                          <w:top w:val="nil"/>
                          <w:left w:val="nil"/>
                          <w:bottom w:val="nil"/>
                          <w:right w:val="nil"/>
                        </w:tcBorders>
                        <w:tcMar>
                          <w:top w:w="15" w:type="dxa"/>
                          <w:left w:w="15" w:type="dxa"/>
                          <w:bottom w:w="15" w:type="dxa"/>
                          <w:right w:w="15" w:type="dxa"/>
                        </w:tcMar>
                        <w:hideMark/>
                      </w:tcPr>
                      <w:p w:rsidR="001520E9" w:rsidRPr="00B14896" w:rsidRDefault="001520E9" w:rsidP="008726F0">
                        <w:pPr>
                          <w:pStyle w:val="webdings"/>
                          <w:rPr>
                            <w:rFonts w:asciiTheme="minorHAnsi" w:hAnsiTheme="minorHAnsi"/>
                            <w:sz w:val="20"/>
                            <w:szCs w:val="20"/>
                          </w:rPr>
                        </w:pPr>
                      </w:p>
                    </w:tc>
                  </w:tr>
                  <w:tr w:rsidR="001520E9" w:rsidRPr="00B14896" w:rsidTr="008726F0">
                    <w:trPr>
                      <w:tblCellSpacing w:w="0" w:type="dxa"/>
                    </w:trPr>
                    <w:tc>
                      <w:tcPr>
                        <w:tcW w:w="3250" w:type="pct"/>
                        <w:tcBorders>
                          <w:top w:val="nil"/>
                          <w:left w:val="nil"/>
                          <w:bottom w:val="nil"/>
                          <w:right w:val="nil"/>
                        </w:tcBorders>
                        <w:tcMar>
                          <w:top w:w="15" w:type="dxa"/>
                          <w:left w:w="15" w:type="dxa"/>
                          <w:bottom w:w="15" w:type="dxa"/>
                          <w:right w:w="15" w:type="dxa"/>
                        </w:tcMar>
                        <w:hideMark/>
                      </w:tcPr>
                      <w:p w:rsidR="001520E9" w:rsidRPr="00B14896" w:rsidRDefault="001520E9" w:rsidP="008726F0">
                        <w:pPr>
                          <w:pStyle w:val="Normal1"/>
                          <w:rPr>
                            <w:rFonts w:asciiTheme="minorHAnsi" w:hAnsiTheme="minorHAnsi"/>
                            <w:sz w:val="20"/>
                            <w:szCs w:val="20"/>
                          </w:rPr>
                        </w:pPr>
                        <w:r w:rsidRPr="00B14896">
                          <w:rPr>
                            <w:rFonts w:asciiTheme="minorHAnsi" w:hAnsiTheme="minorHAnsi"/>
                            <w:sz w:val="20"/>
                            <w:szCs w:val="20"/>
                          </w:rPr>
                          <w:t xml:space="preserve">Складиштење </w:t>
                        </w:r>
                      </w:p>
                    </w:tc>
                    <w:tc>
                      <w:tcPr>
                        <w:tcW w:w="1750" w:type="pct"/>
                        <w:tcBorders>
                          <w:top w:val="nil"/>
                          <w:left w:val="nil"/>
                          <w:bottom w:val="nil"/>
                          <w:right w:val="nil"/>
                        </w:tcBorders>
                        <w:tcMar>
                          <w:top w:w="15" w:type="dxa"/>
                          <w:left w:w="15" w:type="dxa"/>
                          <w:bottom w:w="15" w:type="dxa"/>
                          <w:right w:w="15" w:type="dxa"/>
                        </w:tcMar>
                        <w:hideMark/>
                      </w:tcPr>
                      <w:p w:rsidR="001520E9" w:rsidRPr="00B14896" w:rsidRDefault="001520E9" w:rsidP="008726F0">
                        <w:pPr>
                          <w:pStyle w:val="webdings"/>
                          <w:rPr>
                            <w:rFonts w:asciiTheme="minorHAnsi" w:hAnsiTheme="minorHAnsi"/>
                            <w:sz w:val="20"/>
                            <w:szCs w:val="20"/>
                            <w:lang w:val="sr-Cyrl-RS"/>
                          </w:rPr>
                        </w:pPr>
                        <w:r w:rsidRPr="00B14896">
                          <w:rPr>
                            <w:rFonts w:asciiTheme="minorHAnsi" w:hAnsiTheme="minorHAnsi"/>
                            <w:sz w:val="20"/>
                            <w:szCs w:val="20"/>
                            <w:lang w:val="sr-Cyrl-RS"/>
                          </w:rPr>
                          <w:t>×</w:t>
                        </w:r>
                      </w:p>
                    </w:tc>
                  </w:tr>
                  <w:tr w:rsidR="001520E9" w:rsidRPr="00B14896" w:rsidTr="008726F0">
                    <w:trPr>
                      <w:tblCellSpacing w:w="0" w:type="dxa"/>
                    </w:trPr>
                    <w:tc>
                      <w:tcPr>
                        <w:tcW w:w="3250" w:type="pct"/>
                        <w:tcBorders>
                          <w:top w:val="nil"/>
                          <w:left w:val="nil"/>
                          <w:bottom w:val="nil"/>
                          <w:right w:val="nil"/>
                        </w:tcBorders>
                        <w:tcMar>
                          <w:top w:w="15" w:type="dxa"/>
                          <w:left w:w="15" w:type="dxa"/>
                          <w:bottom w:w="15" w:type="dxa"/>
                          <w:right w:w="15" w:type="dxa"/>
                        </w:tcMar>
                        <w:hideMark/>
                      </w:tcPr>
                      <w:p w:rsidR="001520E9" w:rsidRPr="00B14896" w:rsidRDefault="001520E9" w:rsidP="008726F0">
                        <w:pPr>
                          <w:pStyle w:val="Normal1"/>
                          <w:rPr>
                            <w:rFonts w:asciiTheme="minorHAnsi" w:hAnsiTheme="minorHAnsi"/>
                            <w:sz w:val="20"/>
                            <w:szCs w:val="20"/>
                          </w:rPr>
                        </w:pPr>
                        <w:r w:rsidRPr="00B14896">
                          <w:rPr>
                            <w:rFonts w:asciiTheme="minorHAnsi" w:hAnsiTheme="minorHAnsi"/>
                            <w:sz w:val="20"/>
                            <w:szCs w:val="20"/>
                          </w:rPr>
                          <w:t xml:space="preserve">Третман </w:t>
                        </w:r>
                      </w:p>
                    </w:tc>
                    <w:tc>
                      <w:tcPr>
                        <w:tcW w:w="1750" w:type="pct"/>
                        <w:tcBorders>
                          <w:top w:val="nil"/>
                          <w:left w:val="nil"/>
                          <w:bottom w:val="nil"/>
                          <w:right w:val="nil"/>
                        </w:tcBorders>
                        <w:tcMar>
                          <w:top w:w="15" w:type="dxa"/>
                          <w:left w:w="15" w:type="dxa"/>
                          <w:bottom w:w="15" w:type="dxa"/>
                          <w:right w:w="15" w:type="dxa"/>
                        </w:tcMar>
                        <w:hideMark/>
                      </w:tcPr>
                      <w:p w:rsidR="001520E9" w:rsidRPr="00B14896" w:rsidRDefault="001520E9" w:rsidP="008726F0">
                        <w:pPr>
                          <w:pStyle w:val="webdings"/>
                          <w:rPr>
                            <w:rFonts w:asciiTheme="minorHAnsi" w:hAnsiTheme="minorHAnsi"/>
                            <w:sz w:val="20"/>
                            <w:szCs w:val="20"/>
                            <w:lang w:val="sr-Latn-RS"/>
                          </w:rPr>
                        </w:pPr>
                        <w:r w:rsidRPr="00B14896">
                          <w:rPr>
                            <w:rFonts w:asciiTheme="minorHAnsi" w:hAnsiTheme="minorHAnsi"/>
                            <w:sz w:val="20"/>
                            <w:szCs w:val="20"/>
                            <w:lang w:val="sr-Latn-RS"/>
                          </w:rPr>
                          <w:t>x</w:t>
                        </w:r>
                      </w:p>
                    </w:tc>
                  </w:tr>
                  <w:tr w:rsidR="001520E9" w:rsidRPr="00B14896" w:rsidTr="008726F0">
                    <w:trPr>
                      <w:tblCellSpacing w:w="0" w:type="dxa"/>
                    </w:trPr>
                    <w:tc>
                      <w:tcPr>
                        <w:tcW w:w="3250" w:type="pct"/>
                        <w:tcBorders>
                          <w:top w:val="nil"/>
                          <w:left w:val="nil"/>
                          <w:bottom w:val="nil"/>
                          <w:right w:val="nil"/>
                        </w:tcBorders>
                        <w:tcMar>
                          <w:top w:w="15" w:type="dxa"/>
                          <w:left w:w="15" w:type="dxa"/>
                          <w:bottom w:w="15" w:type="dxa"/>
                          <w:right w:w="15" w:type="dxa"/>
                        </w:tcMar>
                        <w:hideMark/>
                      </w:tcPr>
                      <w:p w:rsidR="001520E9" w:rsidRPr="00B14896" w:rsidRDefault="001520E9" w:rsidP="008726F0">
                        <w:pPr>
                          <w:pStyle w:val="Normal1"/>
                          <w:rPr>
                            <w:rFonts w:asciiTheme="minorHAnsi" w:hAnsiTheme="minorHAnsi"/>
                            <w:sz w:val="20"/>
                            <w:szCs w:val="20"/>
                          </w:rPr>
                        </w:pPr>
                        <w:r w:rsidRPr="00B14896">
                          <w:rPr>
                            <w:rFonts w:asciiTheme="minorHAnsi" w:hAnsiTheme="minorHAnsi"/>
                            <w:sz w:val="20"/>
                            <w:szCs w:val="20"/>
                          </w:rPr>
                          <w:t xml:space="preserve">Одлагање </w:t>
                        </w:r>
                      </w:p>
                    </w:tc>
                    <w:tc>
                      <w:tcPr>
                        <w:tcW w:w="1750" w:type="pct"/>
                        <w:tcBorders>
                          <w:top w:val="nil"/>
                          <w:left w:val="nil"/>
                          <w:bottom w:val="nil"/>
                          <w:right w:val="nil"/>
                        </w:tcBorders>
                        <w:tcMar>
                          <w:top w:w="15" w:type="dxa"/>
                          <w:left w:w="15" w:type="dxa"/>
                          <w:bottom w:w="15" w:type="dxa"/>
                          <w:right w:w="15" w:type="dxa"/>
                        </w:tcMar>
                        <w:hideMark/>
                      </w:tcPr>
                      <w:p w:rsidR="001520E9" w:rsidRPr="00B14896" w:rsidRDefault="001520E9" w:rsidP="008726F0">
                        <w:pPr>
                          <w:pStyle w:val="webdings"/>
                          <w:rPr>
                            <w:rFonts w:asciiTheme="minorHAnsi" w:hAnsiTheme="minorHAnsi"/>
                            <w:sz w:val="20"/>
                            <w:szCs w:val="20"/>
                          </w:rPr>
                        </w:pPr>
                      </w:p>
                    </w:tc>
                  </w:tr>
                </w:tbl>
                <w:p w:rsidR="001520E9" w:rsidRPr="00B14896" w:rsidRDefault="001520E9" w:rsidP="008726F0">
                  <w:pPr>
                    <w:rPr>
                      <w:rFonts w:asciiTheme="minorHAnsi" w:hAnsiTheme="minorHAnsi"/>
                      <w:sz w:val="20"/>
                      <w:szCs w:val="20"/>
                    </w:rPr>
                  </w:pPr>
                </w:p>
              </w:tc>
            </w:tr>
            <w:tr w:rsidR="001520E9" w:rsidRPr="00B14896" w:rsidTr="008726F0">
              <w:trPr>
                <w:tblCellSpacing w:w="0" w:type="dxa"/>
              </w:trPr>
              <w:tc>
                <w:tcPr>
                  <w:tcW w:w="0" w:type="auto"/>
                  <w:tcBorders>
                    <w:top w:val="outset" w:sz="6" w:space="0" w:color="auto"/>
                    <w:left w:val="outset" w:sz="6" w:space="0" w:color="auto"/>
                    <w:bottom w:val="outset" w:sz="6" w:space="0" w:color="auto"/>
                    <w:right w:val="outset" w:sz="6" w:space="0" w:color="auto"/>
                  </w:tcBorders>
                </w:tcPr>
                <w:p w:rsidR="001520E9" w:rsidRPr="00B14896" w:rsidRDefault="001520E9" w:rsidP="008726F0">
                  <w:pPr>
                    <w:pStyle w:val="normaltd"/>
                    <w:rPr>
                      <w:rFonts w:asciiTheme="minorHAnsi" w:hAnsiTheme="minorHAnsi"/>
                      <w:sz w:val="20"/>
                      <w:szCs w:val="20"/>
                    </w:rPr>
                  </w:pPr>
                </w:p>
              </w:tc>
              <w:tc>
                <w:tcPr>
                  <w:tcW w:w="2352" w:type="pct"/>
                  <w:tcBorders>
                    <w:top w:val="outset" w:sz="6" w:space="0" w:color="auto"/>
                    <w:left w:val="outset" w:sz="6" w:space="0" w:color="auto"/>
                    <w:bottom w:val="outset" w:sz="6" w:space="0" w:color="auto"/>
                    <w:right w:val="outset" w:sz="6" w:space="0" w:color="auto"/>
                  </w:tcBorders>
                </w:tcPr>
                <w:p w:rsidR="001520E9" w:rsidRPr="00B14896" w:rsidRDefault="001520E9" w:rsidP="008726F0">
                  <w:pPr>
                    <w:pStyle w:val="Normal1"/>
                    <w:rPr>
                      <w:rFonts w:asciiTheme="minorHAnsi" w:hAnsiTheme="minorHAnsi"/>
                      <w:sz w:val="20"/>
                      <w:szCs w:val="20"/>
                    </w:rPr>
                  </w:pPr>
                </w:p>
              </w:tc>
              <w:tc>
                <w:tcPr>
                  <w:tcW w:w="2447" w:type="pct"/>
                  <w:tcBorders>
                    <w:top w:val="outset" w:sz="6" w:space="0" w:color="auto"/>
                    <w:left w:val="outset" w:sz="6" w:space="0" w:color="auto"/>
                    <w:bottom w:val="outset" w:sz="6" w:space="0" w:color="auto"/>
                    <w:right w:val="outset" w:sz="6" w:space="0" w:color="auto"/>
                  </w:tcBorders>
                </w:tcPr>
                <w:p w:rsidR="001520E9" w:rsidRPr="00B14896" w:rsidRDefault="001520E9" w:rsidP="008726F0">
                  <w:pPr>
                    <w:pStyle w:val="Normal1"/>
                    <w:rPr>
                      <w:rFonts w:asciiTheme="minorHAnsi" w:hAnsiTheme="minorHAnsi"/>
                      <w:sz w:val="20"/>
                      <w:szCs w:val="20"/>
                    </w:rPr>
                  </w:pPr>
                </w:p>
              </w:tc>
            </w:tr>
            <w:tr w:rsidR="001520E9" w:rsidRPr="00B14896" w:rsidTr="008726F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520E9" w:rsidRPr="00B14896" w:rsidRDefault="001520E9" w:rsidP="008726F0">
                  <w:pPr>
                    <w:pStyle w:val="normaltd"/>
                    <w:rPr>
                      <w:rFonts w:asciiTheme="minorHAnsi" w:hAnsiTheme="minorHAnsi"/>
                      <w:sz w:val="20"/>
                      <w:szCs w:val="20"/>
                    </w:rPr>
                  </w:pPr>
                  <w:r w:rsidRPr="00B14896">
                    <w:rPr>
                      <w:rFonts w:asciiTheme="minorHAnsi" w:hAnsiTheme="minorHAnsi"/>
                      <w:sz w:val="20"/>
                      <w:szCs w:val="20"/>
                    </w:rPr>
                    <w:t xml:space="preserve">4. </w:t>
                  </w:r>
                </w:p>
              </w:tc>
              <w:tc>
                <w:tcPr>
                  <w:tcW w:w="4799" w:type="pct"/>
                  <w:gridSpan w:val="2"/>
                  <w:tcBorders>
                    <w:top w:val="outset" w:sz="6" w:space="0" w:color="auto"/>
                    <w:left w:val="outset" w:sz="6" w:space="0" w:color="auto"/>
                    <w:bottom w:val="outset" w:sz="6" w:space="0" w:color="auto"/>
                    <w:right w:val="outset" w:sz="6" w:space="0" w:color="auto"/>
                  </w:tcBorders>
                  <w:hideMark/>
                </w:tcPr>
                <w:p w:rsidR="001520E9" w:rsidRPr="00B14896" w:rsidRDefault="001520E9" w:rsidP="008726F0">
                  <w:pPr>
                    <w:pStyle w:val="Normal1"/>
                    <w:rPr>
                      <w:rFonts w:asciiTheme="minorHAnsi" w:hAnsiTheme="minorHAnsi"/>
                      <w:sz w:val="20"/>
                      <w:szCs w:val="20"/>
                      <w:lang w:val="sr-Cyrl-RS"/>
                    </w:rPr>
                  </w:pPr>
                  <w:r w:rsidRPr="00B14896">
                    <w:rPr>
                      <w:rFonts w:asciiTheme="minorHAnsi" w:hAnsiTheme="minorHAnsi"/>
                      <w:sz w:val="20"/>
                      <w:szCs w:val="20"/>
                    </w:rPr>
                    <w:t>Назив лица регистрованог за обављање делатности сакупљања, односно лица које има својство превозника коме је издата дозвола:</w:t>
                  </w:r>
                  <w:r w:rsidRPr="00B14896">
                    <w:rPr>
                      <w:rFonts w:asciiTheme="minorHAnsi" w:hAnsiTheme="minorHAnsi"/>
                      <w:sz w:val="20"/>
                      <w:szCs w:val="20"/>
                    </w:rPr>
                    <w:br/>
                    <w:t xml:space="preserve">Регистарски број или име и лични број: </w:t>
                  </w:r>
                  <w:r w:rsidRPr="00B14896">
                    <w:rPr>
                      <w:rFonts w:asciiTheme="minorHAnsi" w:hAnsiTheme="minorHAnsi"/>
                      <w:sz w:val="20"/>
                      <w:szCs w:val="20"/>
                      <w:lang w:val="sr-Cyrl-RS"/>
                    </w:rPr>
                    <w:t>-</w:t>
                  </w:r>
                </w:p>
              </w:tc>
            </w:tr>
            <w:tr w:rsidR="001520E9" w:rsidRPr="00B14896" w:rsidTr="008726F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520E9" w:rsidRPr="00B14896" w:rsidRDefault="001520E9" w:rsidP="008726F0">
                  <w:pPr>
                    <w:pStyle w:val="normaltd"/>
                    <w:rPr>
                      <w:rFonts w:asciiTheme="minorHAnsi" w:hAnsiTheme="minorHAnsi"/>
                      <w:sz w:val="20"/>
                      <w:szCs w:val="20"/>
                    </w:rPr>
                  </w:pPr>
                  <w:r w:rsidRPr="00B14896">
                    <w:rPr>
                      <w:rFonts w:asciiTheme="minorHAnsi" w:hAnsiTheme="minorHAnsi"/>
                      <w:sz w:val="20"/>
                      <w:szCs w:val="20"/>
                    </w:rPr>
                    <w:t xml:space="preserve">5. </w:t>
                  </w:r>
                </w:p>
              </w:tc>
              <w:tc>
                <w:tcPr>
                  <w:tcW w:w="4799" w:type="pct"/>
                  <w:gridSpan w:val="2"/>
                  <w:tcBorders>
                    <w:top w:val="outset" w:sz="6" w:space="0" w:color="auto"/>
                    <w:left w:val="outset" w:sz="6" w:space="0" w:color="auto"/>
                    <w:bottom w:val="outset" w:sz="6" w:space="0" w:color="auto"/>
                    <w:right w:val="outset" w:sz="6" w:space="0" w:color="auto"/>
                  </w:tcBorders>
                  <w:hideMark/>
                </w:tcPr>
                <w:p w:rsidR="001520E9" w:rsidRPr="00B14896" w:rsidRDefault="001520E9" w:rsidP="008726F0">
                  <w:pPr>
                    <w:pStyle w:val="Normal1"/>
                    <w:spacing w:before="0" w:beforeAutospacing="0" w:after="0" w:afterAutospacing="0"/>
                    <w:rPr>
                      <w:rFonts w:asciiTheme="minorHAnsi" w:hAnsiTheme="minorHAnsi"/>
                      <w:sz w:val="20"/>
                      <w:szCs w:val="20"/>
                      <w:lang w:val="sr-Cyrl-RS"/>
                    </w:rPr>
                  </w:pPr>
                  <w:r w:rsidRPr="00B14896">
                    <w:rPr>
                      <w:rFonts w:asciiTheme="minorHAnsi" w:hAnsiTheme="minorHAnsi"/>
                      <w:sz w:val="20"/>
                      <w:szCs w:val="20"/>
                    </w:rPr>
                    <w:t>Назив оператера постројења за складиштење</w:t>
                  </w:r>
                  <w:r w:rsidRPr="00B14896">
                    <w:rPr>
                      <w:rFonts w:asciiTheme="minorHAnsi" w:hAnsiTheme="minorHAnsi"/>
                      <w:sz w:val="20"/>
                      <w:szCs w:val="20"/>
                      <w:lang w:val="sr-Cyrl-RS"/>
                    </w:rPr>
                    <w:t xml:space="preserve"> неопасног и опасног </w:t>
                  </w:r>
                  <w:r w:rsidRPr="00B14896">
                    <w:rPr>
                      <w:rFonts w:asciiTheme="minorHAnsi" w:hAnsiTheme="minorHAnsi"/>
                      <w:sz w:val="20"/>
                      <w:szCs w:val="20"/>
                    </w:rPr>
                    <w:t>отпада коме је издата дозвола</w:t>
                  </w:r>
                  <w:r w:rsidRPr="00B14896">
                    <w:rPr>
                      <w:rFonts w:asciiTheme="minorHAnsi" w:hAnsiTheme="minorHAnsi" w:cstheme="minorHAnsi"/>
                      <w:sz w:val="20"/>
                      <w:szCs w:val="20"/>
                    </w:rPr>
                    <w:t xml:space="preserve"> </w:t>
                  </w:r>
                  <w:r w:rsidRPr="00E06ED6">
                    <w:rPr>
                      <w:rFonts w:asciiTheme="minorHAnsi" w:hAnsiTheme="minorHAnsi"/>
                      <w:sz w:val="20"/>
                      <w:szCs w:val="20"/>
                      <w:lang w:val="sr-Latn-RS"/>
                    </w:rPr>
                    <w:t>TARKETT DOO BAČKA PALANKA</w:t>
                  </w:r>
                  <w:r w:rsidRPr="00E06ED6">
                    <w:rPr>
                      <w:rFonts w:asciiTheme="minorHAnsi" w:hAnsiTheme="minorHAnsi"/>
                      <w:sz w:val="20"/>
                      <w:szCs w:val="20"/>
                      <w:lang w:val="sr-Latn-RS"/>
                    </w:rPr>
                    <w:t>,</w:t>
                  </w:r>
                  <w:r w:rsidRPr="00E06ED6">
                    <w:rPr>
                      <w:rFonts w:asciiTheme="minorHAnsi" w:eastAsiaTheme="minorHAnsi" w:hAnsiTheme="minorHAnsi" w:cstheme="minorHAnsi"/>
                      <w:sz w:val="20"/>
                      <w:szCs w:val="20"/>
                      <w:lang w:val="sr-Latn-RS"/>
                    </w:rPr>
                    <w:t xml:space="preserve"> </w:t>
                  </w:r>
                  <w:r w:rsidRPr="00E06ED6">
                    <w:rPr>
                      <w:rFonts w:asciiTheme="minorHAnsi" w:hAnsiTheme="minorHAnsi"/>
                      <w:sz w:val="20"/>
                      <w:szCs w:val="20"/>
                      <w:lang w:val="sr-Latn-RS"/>
                    </w:rPr>
                    <w:t xml:space="preserve">Индустријска </w:t>
                  </w:r>
                  <w:r w:rsidRPr="00E06ED6">
                    <w:rPr>
                      <w:rFonts w:asciiTheme="minorHAnsi" w:hAnsiTheme="minorHAnsi"/>
                      <w:sz w:val="20"/>
                      <w:szCs w:val="20"/>
                      <w:lang w:val="sr-Cyrl-RS"/>
                    </w:rPr>
                    <w:t xml:space="preserve">зона </w:t>
                  </w:r>
                  <w:r w:rsidRPr="00E06ED6">
                    <w:rPr>
                      <w:rFonts w:asciiTheme="minorHAnsi" w:hAnsiTheme="minorHAnsi"/>
                      <w:sz w:val="20"/>
                      <w:szCs w:val="20"/>
                      <w:lang w:val="sr-Latn-RS"/>
                    </w:rPr>
                    <w:t>14, Бачка Паланка</w:t>
                  </w:r>
                </w:p>
                <w:p w:rsidR="001520E9" w:rsidRPr="00B14896" w:rsidRDefault="001520E9" w:rsidP="008726F0">
                  <w:pPr>
                    <w:pStyle w:val="Normal1"/>
                    <w:spacing w:before="0" w:beforeAutospacing="0" w:after="0" w:afterAutospacing="0"/>
                    <w:rPr>
                      <w:rFonts w:asciiTheme="minorHAnsi" w:hAnsiTheme="minorHAnsi"/>
                      <w:sz w:val="20"/>
                      <w:szCs w:val="20"/>
                      <w:lang w:val="sr-Cyrl-RS"/>
                    </w:rPr>
                  </w:pPr>
                  <w:r w:rsidRPr="00B14896">
                    <w:rPr>
                      <w:rFonts w:asciiTheme="minorHAnsi" w:hAnsiTheme="minorHAnsi"/>
                      <w:sz w:val="20"/>
                      <w:szCs w:val="20"/>
                    </w:rPr>
                    <w:t xml:space="preserve">Регистарски број или име и лични број: </w:t>
                  </w:r>
                  <w:r w:rsidRPr="00B14896">
                    <w:rPr>
                      <w:rFonts w:asciiTheme="minorHAnsi" w:hAnsiTheme="minorHAnsi"/>
                      <w:sz w:val="20"/>
                      <w:szCs w:val="20"/>
                      <w:lang w:val="sr-Cyrl-RS"/>
                    </w:rPr>
                    <w:t>Матични број:</w:t>
                  </w:r>
                  <w:r w:rsidRPr="00B14896">
                    <w:rPr>
                      <w:rFonts w:asciiTheme="minorHAnsi" w:hAnsiTheme="minorHAnsi"/>
                      <w:sz w:val="20"/>
                      <w:szCs w:val="20"/>
                    </w:rPr>
                    <w:t xml:space="preserve"> </w:t>
                  </w:r>
                  <w:r w:rsidRPr="00B14896">
                    <w:rPr>
                      <w:rFonts w:asciiTheme="minorHAnsi" w:hAnsiTheme="minorHAnsi"/>
                      <w:bCs/>
                      <w:sz w:val="20"/>
                      <w:szCs w:val="20"/>
                      <w:lang w:val="sr-Cyrl-CS"/>
                    </w:rPr>
                    <w:t>100753461</w:t>
                  </w:r>
                  <w:r w:rsidRPr="00B14896">
                    <w:rPr>
                      <w:rFonts w:asciiTheme="minorHAnsi" w:hAnsiTheme="minorHAnsi"/>
                      <w:bCs/>
                      <w:sz w:val="20"/>
                      <w:szCs w:val="20"/>
                      <w:lang w:val="sr-Cyrl-CS"/>
                    </w:rPr>
                    <w:t>,</w:t>
                  </w:r>
                </w:p>
              </w:tc>
            </w:tr>
            <w:tr w:rsidR="001520E9" w:rsidRPr="00B14896" w:rsidTr="008726F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520E9" w:rsidRPr="00B14896" w:rsidRDefault="001520E9" w:rsidP="008726F0">
                  <w:pPr>
                    <w:pStyle w:val="normaltd"/>
                    <w:rPr>
                      <w:rFonts w:asciiTheme="minorHAnsi" w:hAnsiTheme="minorHAnsi"/>
                      <w:sz w:val="20"/>
                      <w:szCs w:val="20"/>
                    </w:rPr>
                  </w:pPr>
                  <w:r w:rsidRPr="00B14896">
                    <w:rPr>
                      <w:rFonts w:asciiTheme="minorHAnsi" w:hAnsiTheme="minorHAnsi"/>
                      <w:sz w:val="20"/>
                      <w:szCs w:val="20"/>
                    </w:rPr>
                    <w:t xml:space="preserve">6. </w:t>
                  </w:r>
                </w:p>
              </w:tc>
              <w:tc>
                <w:tcPr>
                  <w:tcW w:w="4799" w:type="pct"/>
                  <w:gridSpan w:val="2"/>
                  <w:tcBorders>
                    <w:top w:val="outset" w:sz="6" w:space="0" w:color="auto"/>
                    <w:left w:val="outset" w:sz="6" w:space="0" w:color="auto"/>
                    <w:bottom w:val="outset" w:sz="6" w:space="0" w:color="auto"/>
                    <w:right w:val="outset" w:sz="6" w:space="0" w:color="auto"/>
                  </w:tcBorders>
                  <w:hideMark/>
                </w:tcPr>
                <w:p w:rsidR="001520E9" w:rsidRPr="00B14896" w:rsidRDefault="001520E9" w:rsidP="008726F0">
                  <w:pPr>
                    <w:pStyle w:val="Normal1"/>
                    <w:spacing w:before="0" w:beforeAutospacing="0" w:after="0" w:afterAutospacing="0"/>
                    <w:rPr>
                      <w:rFonts w:asciiTheme="minorHAnsi" w:hAnsiTheme="minorHAnsi"/>
                      <w:sz w:val="20"/>
                      <w:szCs w:val="20"/>
                      <w:lang w:val="sr-Cyrl-RS"/>
                    </w:rPr>
                  </w:pPr>
                  <w:r w:rsidRPr="00B14896">
                    <w:rPr>
                      <w:rFonts w:asciiTheme="minorHAnsi" w:hAnsiTheme="minorHAnsi"/>
                      <w:sz w:val="20"/>
                      <w:szCs w:val="20"/>
                    </w:rPr>
                    <w:t xml:space="preserve">Назив постројења или активности за које је дозвола издата: </w:t>
                  </w:r>
                  <w:r w:rsidRPr="00B14896">
                    <w:rPr>
                      <w:rFonts w:asciiTheme="minorHAnsi" w:hAnsiTheme="minorHAnsi"/>
                      <w:sz w:val="20"/>
                      <w:szCs w:val="20"/>
                      <w:lang w:val="sr-Latn-RS"/>
                    </w:rPr>
                    <w:t xml:space="preserve">TARKETT DOO BAČKA PALANKA, Индустријска </w:t>
                  </w:r>
                  <w:r w:rsidRPr="00B14896">
                    <w:rPr>
                      <w:rFonts w:asciiTheme="minorHAnsi" w:hAnsiTheme="minorHAnsi"/>
                      <w:sz w:val="20"/>
                      <w:szCs w:val="20"/>
                      <w:lang w:val="sr-Cyrl-RS"/>
                    </w:rPr>
                    <w:t xml:space="preserve">зона </w:t>
                  </w:r>
                  <w:r w:rsidRPr="00B14896">
                    <w:rPr>
                      <w:rFonts w:asciiTheme="minorHAnsi" w:hAnsiTheme="minorHAnsi"/>
                      <w:sz w:val="20"/>
                      <w:szCs w:val="20"/>
                      <w:lang w:val="sr-Latn-RS"/>
                    </w:rPr>
                    <w:t>14, Бачка Паланка</w:t>
                  </w:r>
                  <w:r w:rsidRPr="00B14896">
                    <w:rPr>
                      <w:rFonts w:asciiTheme="minorHAnsi" w:hAnsiTheme="minorHAnsi"/>
                      <w:sz w:val="20"/>
                      <w:szCs w:val="20"/>
                      <w:lang w:val="sr-Latn-RS"/>
                    </w:rPr>
                    <w:t xml:space="preserve">, </w:t>
                  </w:r>
                  <w:r w:rsidRPr="00B14896">
                    <w:rPr>
                      <w:rFonts w:asciiTheme="minorHAnsi" w:hAnsiTheme="minorHAnsi"/>
                      <w:sz w:val="20"/>
                      <w:szCs w:val="20"/>
                      <w:lang w:val="sr-Cyrl-RS"/>
                    </w:rPr>
                    <w:t>Дозвола</w:t>
                  </w:r>
                  <w:r w:rsidRPr="00B14896">
                    <w:rPr>
                      <w:rFonts w:asciiTheme="minorHAnsi" w:hAnsiTheme="minorHAnsi" w:cs="Calibri"/>
                      <w:bCs/>
                      <w:sz w:val="20"/>
                      <w:szCs w:val="20"/>
                      <w:lang w:val="sr-Latn-RS" w:eastAsia="sr-Latn-RS"/>
                    </w:rPr>
                    <w:t xml:space="preserve"> </w:t>
                  </w:r>
                  <w:r w:rsidRPr="00B14896">
                    <w:rPr>
                      <w:rFonts w:asciiTheme="minorHAnsi" w:hAnsiTheme="minorHAnsi" w:cs="Calibri"/>
                      <w:bCs/>
                      <w:sz w:val="20"/>
                      <w:szCs w:val="20"/>
                      <w:lang w:val="sr-Cyrl-RS" w:eastAsia="sr-Latn-RS"/>
                    </w:rPr>
                    <w:t xml:space="preserve"> </w:t>
                  </w:r>
                  <w:r w:rsidRPr="00B14896">
                    <w:rPr>
                      <w:rFonts w:asciiTheme="minorHAnsi" w:hAnsiTheme="minorHAnsi" w:cs="Calibri"/>
                      <w:bCs/>
                      <w:sz w:val="20"/>
                      <w:szCs w:val="20"/>
                      <w:lang w:val="ru-RU" w:eastAsia="sr-Latn-RS"/>
                    </w:rPr>
                    <w:t>за складиштење и термички третман  отпадног кондензата на локацији оператера</w:t>
                  </w:r>
                </w:p>
              </w:tc>
            </w:tr>
            <w:tr w:rsidR="001520E9" w:rsidRPr="00B14896" w:rsidTr="008726F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520E9" w:rsidRPr="00B14896" w:rsidRDefault="001520E9" w:rsidP="008726F0">
                  <w:pPr>
                    <w:pStyle w:val="normaltd"/>
                    <w:rPr>
                      <w:rFonts w:asciiTheme="minorHAnsi" w:hAnsiTheme="minorHAnsi"/>
                      <w:sz w:val="20"/>
                      <w:szCs w:val="20"/>
                    </w:rPr>
                  </w:pPr>
                  <w:r w:rsidRPr="00B14896">
                    <w:rPr>
                      <w:rFonts w:asciiTheme="minorHAnsi" w:hAnsiTheme="minorHAnsi"/>
                      <w:sz w:val="20"/>
                      <w:szCs w:val="20"/>
                    </w:rPr>
                    <w:t xml:space="preserve">7. </w:t>
                  </w:r>
                </w:p>
              </w:tc>
              <w:tc>
                <w:tcPr>
                  <w:tcW w:w="4799" w:type="pct"/>
                  <w:gridSpan w:val="2"/>
                  <w:tcBorders>
                    <w:top w:val="outset" w:sz="6" w:space="0" w:color="auto"/>
                    <w:left w:val="outset" w:sz="6" w:space="0" w:color="auto"/>
                    <w:bottom w:val="outset" w:sz="6" w:space="0" w:color="auto"/>
                    <w:right w:val="outset" w:sz="6" w:space="0" w:color="auto"/>
                  </w:tcBorders>
                  <w:hideMark/>
                </w:tcPr>
                <w:p w:rsidR="001520E9" w:rsidRPr="00B14896" w:rsidRDefault="001520E9" w:rsidP="008726F0">
                  <w:pPr>
                    <w:pStyle w:val="Normal1"/>
                    <w:rPr>
                      <w:rFonts w:asciiTheme="minorHAnsi" w:hAnsiTheme="minorHAnsi"/>
                      <w:sz w:val="20"/>
                      <w:szCs w:val="20"/>
                      <w:lang w:val="sr-Cyrl-RS"/>
                    </w:rPr>
                  </w:pPr>
                  <w:r w:rsidRPr="00B14896">
                    <w:rPr>
                      <w:rFonts w:asciiTheme="minorHAnsi" w:hAnsiTheme="minorHAnsi"/>
                      <w:sz w:val="20"/>
                      <w:szCs w:val="20"/>
                    </w:rPr>
                    <w:t xml:space="preserve">Назив надлежног органа који је издао дозволу: </w:t>
                  </w:r>
                  <w:r w:rsidRPr="00B14896">
                    <w:rPr>
                      <w:rFonts w:asciiTheme="minorHAnsi" w:hAnsiTheme="minorHAnsi"/>
                      <w:sz w:val="20"/>
                      <w:szCs w:val="20"/>
                      <w:lang w:val="sr-Cyrl-RS"/>
                    </w:rPr>
                    <w:t>Покрајински секретаријат за урбанизам и заштиту животне средине</w:t>
                  </w:r>
                </w:p>
              </w:tc>
            </w:tr>
            <w:tr w:rsidR="001520E9" w:rsidRPr="00B14896" w:rsidTr="008726F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520E9" w:rsidRPr="00B14896" w:rsidRDefault="001520E9" w:rsidP="008726F0">
                  <w:pPr>
                    <w:pStyle w:val="normaltd"/>
                    <w:rPr>
                      <w:rFonts w:asciiTheme="minorHAnsi" w:hAnsiTheme="minorHAnsi"/>
                      <w:sz w:val="20"/>
                      <w:szCs w:val="20"/>
                    </w:rPr>
                  </w:pPr>
                  <w:r w:rsidRPr="00B14896">
                    <w:rPr>
                      <w:rFonts w:asciiTheme="minorHAnsi" w:hAnsiTheme="minorHAnsi"/>
                      <w:sz w:val="20"/>
                      <w:szCs w:val="20"/>
                    </w:rPr>
                    <w:t xml:space="preserve">8. </w:t>
                  </w:r>
                </w:p>
              </w:tc>
              <w:tc>
                <w:tcPr>
                  <w:tcW w:w="4799" w:type="pct"/>
                  <w:gridSpan w:val="2"/>
                  <w:tcBorders>
                    <w:top w:val="outset" w:sz="6" w:space="0" w:color="auto"/>
                    <w:left w:val="outset" w:sz="6" w:space="0" w:color="auto"/>
                    <w:bottom w:val="outset" w:sz="6" w:space="0" w:color="auto"/>
                    <w:right w:val="outset" w:sz="6" w:space="0" w:color="auto"/>
                  </w:tcBorders>
                  <w:hideMark/>
                </w:tcPr>
                <w:p w:rsidR="001520E9" w:rsidRPr="00B14896" w:rsidRDefault="001520E9" w:rsidP="001520E9">
                  <w:pPr>
                    <w:pStyle w:val="Normal1"/>
                    <w:rPr>
                      <w:rFonts w:asciiTheme="minorHAnsi" w:hAnsiTheme="minorHAnsi"/>
                      <w:sz w:val="20"/>
                      <w:szCs w:val="20"/>
                      <w:lang w:val="sr-Cyrl-RS"/>
                    </w:rPr>
                  </w:pPr>
                  <w:r w:rsidRPr="00B14896">
                    <w:rPr>
                      <w:rFonts w:asciiTheme="minorHAnsi" w:hAnsiTheme="minorHAnsi"/>
                      <w:sz w:val="20"/>
                      <w:szCs w:val="20"/>
                    </w:rPr>
                    <w:t xml:space="preserve">Број и датум издавања дозволе: </w:t>
                  </w:r>
                  <w:r w:rsidRPr="00B14896">
                    <w:rPr>
                      <w:rFonts w:asciiTheme="minorHAnsi" w:hAnsiTheme="minorHAnsi" w:cstheme="minorHAnsi"/>
                      <w:color w:val="000000"/>
                      <w:sz w:val="20"/>
                      <w:szCs w:val="20"/>
                      <w:lang w:val="sr-Latn-RS"/>
                    </w:rPr>
                    <w:t>000580823 2024 09415 005 001 000 001 01 001</w:t>
                  </w:r>
                  <w:r w:rsidR="00E06ED6">
                    <w:rPr>
                      <w:rFonts w:asciiTheme="minorHAnsi" w:hAnsiTheme="minorHAnsi" w:cstheme="minorHAnsi"/>
                      <w:color w:val="000000"/>
                      <w:sz w:val="20"/>
                      <w:szCs w:val="20"/>
                      <w:lang w:val="sr-Latn-RS"/>
                    </w:rPr>
                    <w:t xml:space="preserve"> </w:t>
                  </w:r>
                  <w:r w:rsidRPr="00B14896">
                    <w:rPr>
                      <w:rFonts w:asciiTheme="minorHAnsi" w:hAnsiTheme="minorHAnsi"/>
                      <w:sz w:val="20"/>
                      <w:szCs w:val="20"/>
                      <w:lang w:val="sr-Cyrl-RS"/>
                    </w:rPr>
                    <w:t xml:space="preserve">од </w:t>
                  </w:r>
                  <w:r w:rsidRPr="00B14896">
                    <w:rPr>
                      <w:rFonts w:asciiTheme="minorHAnsi" w:hAnsiTheme="minorHAnsi"/>
                      <w:sz w:val="20"/>
                      <w:szCs w:val="20"/>
                      <w:lang w:val="sr-Cyrl-RS"/>
                    </w:rPr>
                    <w:t>08</w:t>
                  </w:r>
                  <w:r w:rsidRPr="00B14896">
                    <w:rPr>
                      <w:rFonts w:asciiTheme="minorHAnsi" w:hAnsiTheme="minorHAnsi"/>
                      <w:sz w:val="20"/>
                      <w:szCs w:val="20"/>
                    </w:rPr>
                    <w:t>.05.2024</w:t>
                  </w:r>
                  <w:r w:rsidRPr="00B14896">
                    <w:rPr>
                      <w:rFonts w:asciiTheme="minorHAnsi" w:hAnsiTheme="minorHAnsi"/>
                      <w:sz w:val="20"/>
                      <w:szCs w:val="20"/>
                      <w:lang w:val="sr-Cyrl-RS"/>
                    </w:rPr>
                    <w:t>.</w:t>
                  </w:r>
                </w:p>
              </w:tc>
            </w:tr>
            <w:tr w:rsidR="001520E9" w:rsidRPr="00B14896" w:rsidTr="008726F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520E9" w:rsidRPr="00B14896" w:rsidRDefault="001520E9" w:rsidP="008726F0">
                  <w:pPr>
                    <w:pStyle w:val="normaltd"/>
                    <w:rPr>
                      <w:rFonts w:asciiTheme="minorHAnsi" w:hAnsiTheme="minorHAnsi"/>
                      <w:sz w:val="20"/>
                      <w:szCs w:val="20"/>
                    </w:rPr>
                  </w:pPr>
                  <w:r w:rsidRPr="00B14896">
                    <w:rPr>
                      <w:rFonts w:asciiTheme="minorHAnsi" w:hAnsiTheme="minorHAnsi"/>
                      <w:sz w:val="20"/>
                      <w:szCs w:val="20"/>
                    </w:rPr>
                    <w:t xml:space="preserve">9. </w:t>
                  </w:r>
                </w:p>
              </w:tc>
              <w:tc>
                <w:tcPr>
                  <w:tcW w:w="4799" w:type="pct"/>
                  <w:gridSpan w:val="2"/>
                  <w:tcBorders>
                    <w:top w:val="outset" w:sz="6" w:space="0" w:color="auto"/>
                    <w:left w:val="outset" w:sz="6" w:space="0" w:color="auto"/>
                    <w:bottom w:val="outset" w:sz="6" w:space="0" w:color="auto"/>
                    <w:right w:val="outset" w:sz="6" w:space="0" w:color="auto"/>
                  </w:tcBorders>
                  <w:hideMark/>
                </w:tcPr>
                <w:tbl>
                  <w:tblPr>
                    <w:tblW w:w="5000" w:type="pct"/>
                    <w:tblCellSpacing w:w="0" w:type="dxa"/>
                    <w:tblBorders>
                      <w:top w:val="single" w:sz="2" w:space="0" w:color="000000"/>
                      <w:left w:val="single" w:sz="2" w:space="0" w:color="000000"/>
                      <w:bottom w:val="single" w:sz="2" w:space="0" w:color="000000"/>
                      <w:right w:val="single" w:sz="2" w:space="0" w:color="000000"/>
                    </w:tblBorders>
                    <w:tblLook w:val="04A0" w:firstRow="1" w:lastRow="0" w:firstColumn="1" w:lastColumn="0" w:noHBand="0" w:noVBand="1"/>
                  </w:tblPr>
                  <w:tblGrid>
                    <w:gridCol w:w="1595"/>
                    <w:gridCol w:w="1023"/>
                    <w:gridCol w:w="165"/>
                    <w:gridCol w:w="2518"/>
                    <w:gridCol w:w="3118"/>
                  </w:tblGrid>
                  <w:tr w:rsidR="001520E9" w:rsidRPr="00B14896" w:rsidTr="008726F0">
                    <w:trPr>
                      <w:tblCellSpacing w:w="0" w:type="dxa"/>
                    </w:trPr>
                    <w:tc>
                      <w:tcPr>
                        <w:tcW w:w="959" w:type="pct"/>
                        <w:tcBorders>
                          <w:top w:val="nil"/>
                          <w:left w:val="nil"/>
                          <w:bottom w:val="nil"/>
                          <w:right w:val="nil"/>
                        </w:tcBorders>
                        <w:tcMar>
                          <w:top w:w="15" w:type="dxa"/>
                          <w:left w:w="15" w:type="dxa"/>
                          <w:bottom w:w="15" w:type="dxa"/>
                          <w:right w:w="15" w:type="dxa"/>
                        </w:tcMar>
                        <w:hideMark/>
                      </w:tcPr>
                      <w:p w:rsidR="001520E9" w:rsidRPr="00B14896" w:rsidRDefault="001520E9" w:rsidP="008726F0">
                        <w:pPr>
                          <w:pStyle w:val="Normal1"/>
                          <w:rPr>
                            <w:rFonts w:asciiTheme="minorHAnsi" w:hAnsiTheme="minorHAnsi"/>
                            <w:sz w:val="20"/>
                            <w:szCs w:val="20"/>
                          </w:rPr>
                        </w:pPr>
                        <w:r w:rsidRPr="00B14896">
                          <w:rPr>
                            <w:rFonts w:asciiTheme="minorHAnsi" w:hAnsiTheme="minorHAnsi"/>
                            <w:sz w:val="20"/>
                            <w:szCs w:val="20"/>
                          </w:rPr>
                          <w:t xml:space="preserve">Рок важности дозволе </w:t>
                        </w:r>
                      </w:p>
                    </w:tc>
                    <w:tc>
                      <w:tcPr>
                        <w:tcW w:w="562" w:type="pct"/>
                        <w:tcBorders>
                          <w:top w:val="single" w:sz="2" w:space="0" w:color="000000"/>
                          <w:left w:val="single" w:sz="6" w:space="0" w:color="000000"/>
                          <w:bottom w:val="single" w:sz="2" w:space="0" w:color="000000"/>
                          <w:right w:val="single" w:sz="6" w:space="0" w:color="000000"/>
                        </w:tcBorders>
                        <w:tcMar>
                          <w:top w:w="15" w:type="dxa"/>
                          <w:left w:w="15" w:type="dxa"/>
                          <w:bottom w:w="15" w:type="dxa"/>
                          <w:right w:w="15" w:type="dxa"/>
                        </w:tcMar>
                        <w:hideMark/>
                      </w:tcPr>
                      <w:p w:rsidR="001520E9" w:rsidRPr="00B14896" w:rsidRDefault="001520E9" w:rsidP="008726F0">
                        <w:pPr>
                          <w:pStyle w:val="normalcentar"/>
                          <w:rPr>
                            <w:rFonts w:asciiTheme="minorHAnsi" w:hAnsiTheme="minorHAnsi"/>
                            <w:sz w:val="20"/>
                            <w:szCs w:val="20"/>
                          </w:rPr>
                        </w:pPr>
                        <w:r w:rsidRPr="00B14896">
                          <w:rPr>
                            <w:rFonts w:asciiTheme="minorHAnsi" w:hAnsiTheme="minorHAnsi"/>
                            <w:sz w:val="20"/>
                            <w:szCs w:val="20"/>
                          </w:rPr>
                          <w:t>Од</w:t>
                        </w:r>
                      </w:p>
                      <w:p w:rsidR="001520E9" w:rsidRPr="00B14896" w:rsidRDefault="001520E9" w:rsidP="008726F0">
                        <w:pPr>
                          <w:pStyle w:val="normalcentar"/>
                          <w:rPr>
                            <w:rFonts w:asciiTheme="minorHAnsi" w:hAnsiTheme="minorHAnsi"/>
                            <w:sz w:val="20"/>
                            <w:szCs w:val="20"/>
                          </w:rPr>
                        </w:pPr>
                        <w:r w:rsidRPr="00B14896">
                          <w:rPr>
                            <w:rFonts w:asciiTheme="minorHAnsi" w:hAnsiTheme="minorHAnsi"/>
                            <w:sz w:val="20"/>
                            <w:szCs w:val="20"/>
                          </w:rPr>
                          <w:t>08.05.2024</w:t>
                        </w:r>
                        <w:r w:rsidRPr="00B14896">
                          <w:rPr>
                            <w:rFonts w:asciiTheme="minorHAnsi" w:hAnsiTheme="minorHAnsi"/>
                            <w:sz w:val="20"/>
                            <w:szCs w:val="20"/>
                            <w:lang w:val="sr-Cyrl-RS"/>
                          </w:rPr>
                          <w:t>.</w:t>
                        </w:r>
                      </w:p>
                    </w:tc>
                    <w:tc>
                      <w:tcPr>
                        <w:tcW w:w="109" w:type="pct"/>
                        <w:tcBorders>
                          <w:top w:val="nil"/>
                          <w:left w:val="nil"/>
                          <w:bottom w:val="nil"/>
                          <w:right w:val="nil"/>
                        </w:tcBorders>
                        <w:tcMar>
                          <w:top w:w="15" w:type="dxa"/>
                          <w:left w:w="15" w:type="dxa"/>
                          <w:bottom w:w="15" w:type="dxa"/>
                          <w:right w:w="15" w:type="dxa"/>
                        </w:tcMar>
                        <w:hideMark/>
                      </w:tcPr>
                      <w:p w:rsidR="001520E9" w:rsidRPr="00B14896" w:rsidRDefault="001520E9" w:rsidP="008726F0">
                        <w:pPr>
                          <w:pStyle w:val="Normal1"/>
                          <w:rPr>
                            <w:rFonts w:asciiTheme="minorHAnsi" w:hAnsiTheme="minorHAnsi"/>
                            <w:sz w:val="20"/>
                            <w:szCs w:val="20"/>
                          </w:rPr>
                        </w:pPr>
                        <w:r w:rsidRPr="00B14896">
                          <w:rPr>
                            <w:rFonts w:asciiTheme="minorHAnsi" w:hAnsiTheme="minorHAnsi"/>
                            <w:sz w:val="20"/>
                            <w:szCs w:val="20"/>
                          </w:rPr>
                          <w:t xml:space="preserve">  </w:t>
                        </w:r>
                      </w:p>
                    </w:tc>
                    <w:tc>
                      <w:tcPr>
                        <w:tcW w:w="1507" w:type="pct"/>
                        <w:tcBorders>
                          <w:top w:val="single" w:sz="2" w:space="0" w:color="000000"/>
                          <w:left w:val="single" w:sz="6" w:space="0" w:color="000000"/>
                          <w:bottom w:val="single" w:sz="2" w:space="0" w:color="000000"/>
                          <w:right w:val="single" w:sz="6" w:space="0" w:color="000000"/>
                        </w:tcBorders>
                        <w:tcMar>
                          <w:top w:w="15" w:type="dxa"/>
                          <w:left w:w="15" w:type="dxa"/>
                          <w:bottom w:w="15" w:type="dxa"/>
                          <w:right w:w="15" w:type="dxa"/>
                        </w:tcMar>
                        <w:hideMark/>
                      </w:tcPr>
                      <w:p w:rsidR="001520E9" w:rsidRPr="00B14896" w:rsidRDefault="001520E9" w:rsidP="008726F0">
                        <w:pPr>
                          <w:pStyle w:val="normalcentar"/>
                          <w:rPr>
                            <w:rFonts w:asciiTheme="minorHAnsi" w:hAnsiTheme="minorHAnsi"/>
                            <w:sz w:val="20"/>
                            <w:szCs w:val="20"/>
                          </w:rPr>
                        </w:pPr>
                        <w:r w:rsidRPr="00B14896">
                          <w:rPr>
                            <w:rFonts w:asciiTheme="minorHAnsi" w:hAnsiTheme="minorHAnsi"/>
                            <w:sz w:val="20"/>
                            <w:szCs w:val="20"/>
                          </w:rPr>
                          <w:t>До</w:t>
                        </w:r>
                      </w:p>
                      <w:p w:rsidR="001520E9" w:rsidRPr="00B14896" w:rsidRDefault="001520E9" w:rsidP="008726F0">
                        <w:pPr>
                          <w:pStyle w:val="normalcentar"/>
                          <w:rPr>
                            <w:rFonts w:asciiTheme="minorHAnsi" w:hAnsiTheme="minorHAnsi"/>
                            <w:sz w:val="20"/>
                            <w:szCs w:val="20"/>
                            <w:lang w:val="sr-Cyrl-RS"/>
                          </w:rPr>
                        </w:pPr>
                        <w:r w:rsidRPr="00B14896">
                          <w:rPr>
                            <w:rFonts w:asciiTheme="minorHAnsi" w:hAnsiTheme="minorHAnsi"/>
                            <w:sz w:val="20"/>
                            <w:szCs w:val="20"/>
                          </w:rPr>
                          <w:t>08.05.2034</w:t>
                        </w:r>
                        <w:r w:rsidRPr="00B14896">
                          <w:rPr>
                            <w:rFonts w:asciiTheme="minorHAnsi" w:hAnsiTheme="minorHAnsi"/>
                            <w:sz w:val="20"/>
                            <w:szCs w:val="20"/>
                            <w:lang w:val="sr-Cyrl-RS"/>
                          </w:rPr>
                          <w:t>.</w:t>
                        </w:r>
                      </w:p>
                    </w:tc>
                    <w:tc>
                      <w:tcPr>
                        <w:tcW w:w="1864" w:type="pct"/>
                        <w:tcBorders>
                          <w:top w:val="nil"/>
                          <w:left w:val="nil"/>
                          <w:bottom w:val="nil"/>
                          <w:right w:val="nil"/>
                        </w:tcBorders>
                        <w:tcMar>
                          <w:top w:w="15" w:type="dxa"/>
                          <w:left w:w="15" w:type="dxa"/>
                          <w:bottom w:w="15" w:type="dxa"/>
                          <w:right w:w="15" w:type="dxa"/>
                        </w:tcMar>
                        <w:hideMark/>
                      </w:tcPr>
                      <w:p w:rsidR="001520E9" w:rsidRPr="00B14896" w:rsidRDefault="001520E9" w:rsidP="008726F0">
                        <w:pPr>
                          <w:pStyle w:val="Normal1"/>
                          <w:rPr>
                            <w:rFonts w:asciiTheme="minorHAnsi" w:hAnsiTheme="minorHAnsi"/>
                            <w:sz w:val="20"/>
                            <w:szCs w:val="20"/>
                          </w:rPr>
                        </w:pPr>
                        <w:r w:rsidRPr="00B14896">
                          <w:rPr>
                            <w:rFonts w:asciiTheme="minorHAnsi" w:hAnsiTheme="minorHAnsi"/>
                            <w:sz w:val="20"/>
                            <w:szCs w:val="20"/>
                          </w:rPr>
                          <w:t xml:space="preserve">  </w:t>
                        </w:r>
                      </w:p>
                    </w:tc>
                  </w:tr>
                </w:tbl>
                <w:p w:rsidR="001520E9" w:rsidRPr="00B14896" w:rsidRDefault="001520E9" w:rsidP="008726F0">
                  <w:pPr>
                    <w:rPr>
                      <w:rFonts w:asciiTheme="minorHAnsi" w:hAnsiTheme="minorHAnsi"/>
                      <w:sz w:val="20"/>
                      <w:szCs w:val="20"/>
                    </w:rPr>
                  </w:pPr>
                </w:p>
              </w:tc>
            </w:tr>
            <w:tr w:rsidR="001520E9" w:rsidRPr="00B14896" w:rsidTr="008726F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520E9" w:rsidRPr="00B14896" w:rsidRDefault="001520E9" w:rsidP="008726F0">
                  <w:pPr>
                    <w:pStyle w:val="normaltd"/>
                    <w:rPr>
                      <w:rFonts w:asciiTheme="minorHAnsi" w:hAnsiTheme="minorHAnsi"/>
                      <w:sz w:val="20"/>
                      <w:szCs w:val="20"/>
                    </w:rPr>
                  </w:pPr>
                  <w:r w:rsidRPr="00B14896">
                    <w:rPr>
                      <w:rFonts w:asciiTheme="minorHAnsi" w:hAnsiTheme="minorHAnsi"/>
                      <w:sz w:val="20"/>
                      <w:szCs w:val="20"/>
                    </w:rPr>
                    <w:t xml:space="preserve">10. </w:t>
                  </w:r>
                </w:p>
              </w:tc>
              <w:tc>
                <w:tcPr>
                  <w:tcW w:w="4799" w:type="pct"/>
                  <w:gridSpan w:val="2"/>
                  <w:tcBorders>
                    <w:top w:val="outset" w:sz="6" w:space="0" w:color="auto"/>
                    <w:left w:val="outset" w:sz="6" w:space="0" w:color="auto"/>
                    <w:bottom w:val="outset" w:sz="6" w:space="0" w:color="auto"/>
                    <w:right w:val="outset" w:sz="6" w:space="0" w:color="auto"/>
                  </w:tcBorders>
                  <w:hideMark/>
                </w:tcPr>
                <w:p w:rsidR="001520E9" w:rsidRPr="00B14896" w:rsidRDefault="001520E9" w:rsidP="008726F0">
                  <w:pPr>
                    <w:pStyle w:val="Normal1"/>
                    <w:rPr>
                      <w:rFonts w:asciiTheme="minorHAnsi" w:hAnsiTheme="minorHAnsi"/>
                      <w:sz w:val="20"/>
                      <w:szCs w:val="20"/>
                    </w:rPr>
                  </w:pPr>
                  <w:r w:rsidRPr="00B14896">
                    <w:rPr>
                      <w:rFonts w:asciiTheme="minorHAnsi" w:hAnsiTheme="minorHAnsi"/>
                      <w:sz w:val="20"/>
                      <w:szCs w:val="20"/>
                    </w:rPr>
                    <w:t xml:space="preserve">Услови утврђени дозволом за </w:t>
                  </w:r>
                  <w:r w:rsidRPr="00B14896">
                    <w:rPr>
                      <w:rFonts w:asciiTheme="minorHAnsi" w:hAnsiTheme="minorHAnsi" w:cs="Calibri"/>
                      <w:bCs/>
                      <w:sz w:val="20"/>
                      <w:szCs w:val="20"/>
                      <w:lang w:val="ru-RU" w:eastAsia="sr-Latn-RS"/>
                    </w:rPr>
                    <w:t>складиштење и термички третман  отпадног кондензата</w:t>
                  </w:r>
                  <w:r w:rsidRPr="00B14896">
                    <w:rPr>
                      <w:rFonts w:asciiTheme="minorHAnsi" w:hAnsiTheme="minorHAnsi"/>
                      <w:sz w:val="20"/>
                      <w:szCs w:val="20"/>
                    </w:rPr>
                    <w:t xml:space="preserve">: </w:t>
                  </w:r>
                </w:p>
                <w:p w:rsidR="001520E9" w:rsidRPr="00B14896" w:rsidRDefault="001520E9" w:rsidP="008726F0">
                  <w:pPr>
                    <w:pStyle w:val="Normal1"/>
                    <w:spacing w:before="0" w:beforeAutospacing="0" w:after="0" w:afterAutospacing="0"/>
                    <w:rPr>
                      <w:rFonts w:asciiTheme="minorHAnsi" w:hAnsiTheme="minorHAnsi"/>
                      <w:sz w:val="20"/>
                      <w:szCs w:val="20"/>
                    </w:rPr>
                  </w:pPr>
                  <w:r w:rsidRPr="00B14896">
                    <w:rPr>
                      <w:rFonts w:asciiTheme="minorHAnsi" w:hAnsiTheme="minorHAnsi"/>
                      <w:sz w:val="20"/>
                      <w:szCs w:val="20"/>
                    </w:rPr>
                    <w:t>Врста и количина отпада:</w:t>
                  </w:r>
                </w:p>
                <w:p w:rsidR="001520E9" w:rsidRPr="00B14896" w:rsidRDefault="001520E9" w:rsidP="008726F0">
                  <w:pPr>
                    <w:pStyle w:val="Normal1"/>
                    <w:spacing w:before="0" w:beforeAutospacing="0" w:after="0" w:afterAutospacing="0"/>
                    <w:ind w:right="233"/>
                    <w:rPr>
                      <w:rFonts w:asciiTheme="minorHAnsi" w:hAnsiTheme="minorHAnsi"/>
                      <w:sz w:val="20"/>
                      <w:szCs w:val="20"/>
                    </w:rPr>
                  </w:pPr>
                  <w:r w:rsidRPr="00B14896">
                    <w:rPr>
                      <w:rFonts w:asciiTheme="minorHAnsi" w:hAnsiTheme="minorHAnsi" w:cstheme="minorHAnsi"/>
                      <w:b/>
                      <w:sz w:val="20"/>
                      <w:szCs w:val="20"/>
                      <w:lang w:val="ru-RU"/>
                    </w:rPr>
                    <w:t>Неопасан отпад који оператер складишти и третира у постројењу</w:t>
                  </w:r>
                </w:p>
                <w:p w:rsidR="001520E9" w:rsidRPr="00B14896" w:rsidRDefault="001520E9" w:rsidP="001520E9">
                  <w:pPr>
                    <w:pStyle w:val="NormalWeb"/>
                    <w:rPr>
                      <w:rFonts w:asciiTheme="minorHAnsi" w:hAnsiTheme="minorHAnsi" w:cstheme="minorHAnsi"/>
                      <w:bCs/>
                      <w:noProof/>
                      <w:sz w:val="20"/>
                      <w:szCs w:val="20"/>
                      <w:lang w:val="sr-Latn-RS"/>
                    </w:rPr>
                  </w:pPr>
                  <w:r w:rsidRPr="00B14896">
                    <w:rPr>
                      <w:rFonts w:asciiTheme="minorHAnsi" w:hAnsiTheme="minorHAnsi" w:cstheme="minorHAnsi"/>
                      <w:bCs/>
                      <w:noProof/>
                      <w:sz w:val="20"/>
                      <w:szCs w:val="20"/>
                      <w:lang w:val="sr-Latn-RS"/>
                    </w:rPr>
                    <w:t xml:space="preserve">Максимални дневни капацитет за пријем неопасног отпада, према акту о процени утицаја, је 20t. </w:t>
                  </w:r>
                </w:p>
                <w:p w:rsidR="001520E9" w:rsidRPr="00B14896" w:rsidRDefault="001520E9" w:rsidP="001520E9">
                  <w:pPr>
                    <w:pStyle w:val="NormalWeb"/>
                    <w:rPr>
                      <w:rFonts w:asciiTheme="minorHAnsi" w:hAnsiTheme="minorHAnsi" w:cstheme="minorHAnsi"/>
                      <w:bCs/>
                      <w:noProof/>
                      <w:sz w:val="20"/>
                      <w:szCs w:val="20"/>
                      <w:lang w:val="sr-Latn-RS"/>
                    </w:rPr>
                  </w:pPr>
                  <w:r w:rsidRPr="00B14896">
                    <w:rPr>
                      <w:rFonts w:asciiTheme="minorHAnsi" w:hAnsiTheme="minorHAnsi" w:cstheme="minorHAnsi"/>
                      <w:bCs/>
                      <w:noProof/>
                      <w:sz w:val="20"/>
                      <w:szCs w:val="20"/>
                      <w:lang w:val="sr-Latn-RS"/>
                    </w:rPr>
                    <w:t xml:space="preserve">Максимални капацитет складишта за све врсте неопасног отпада у једном тренутку је 20 t. </w:t>
                  </w:r>
                </w:p>
                <w:p w:rsidR="001520E9" w:rsidRPr="00B14896" w:rsidRDefault="001520E9" w:rsidP="001520E9">
                  <w:pPr>
                    <w:pStyle w:val="NormalWeb"/>
                    <w:rPr>
                      <w:rFonts w:asciiTheme="minorHAnsi" w:hAnsiTheme="minorHAnsi" w:cstheme="minorHAnsi"/>
                      <w:bCs/>
                      <w:noProof/>
                      <w:sz w:val="20"/>
                      <w:szCs w:val="20"/>
                      <w:lang w:val="sr-Latn-RS"/>
                    </w:rPr>
                  </w:pPr>
                  <w:r w:rsidRPr="00B14896">
                    <w:rPr>
                      <w:rFonts w:asciiTheme="minorHAnsi" w:hAnsiTheme="minorHAnsi" w:cstheme="minorHAnsi"/>
                      <w:bCs/>
                      <w:noProof/>
                      <w:sz w:val="20"/>
                      <w:szCs w:val="20"/>
                      <w:lang w:val="sr-Latn-RS"/>
                    </w:rPr>
                    <w:t xml:space="preserve">Максимални годишњи капацитет складишта, према акту о процени утицаја, за све врсте неопасног отпада је 60 t. </w:t>
                  </w:r>
                </w:p>
                <w:p w:rsidR="001520E9" w:rsidRPr="00B14896" w:rsidRDefault="001520E9" w:rsidP="001520E9">
                  <w:pPr>
                    <w:pStyle w:val="NormalWeb"/>
                    <w:rPr>
                      <w:rFonts w:asciiTheme="minorHAnsi" w:hAnsiTheme="minorHAnsi" w:cstheme="minorHAnsi"/>
                      <w:bCs/>
                      <w:noProof/>
                      <w:sz w:val="20"/>
                      <w:szCs w:val="20"/>
                      <w:lang w:val="sr-Latn-RS"/>
                    </w:rPr>
                  </w:pPr>
                  <w:r w:rsidRPr="00B14896">
                    <w:rPr>
                      <w:rFonts w:asciiTheme="minorHAnsi" w:hAnsiTheme="minorHAnsi" w:cstheme="minorHAnsi"/>
                      <w:bCs/>
                      <w:noProof/>
                      <w:sz w:val="20"/>
                      <w:szCs w:val="20"/>
                      <w:lang w:val="sr-Latn-RS"/>
                    </w:rPr>
                    <w:t xml:space="preserve">Капацитет складишта неопасног отпада по врстама отпада и њиховом капацитету дат је у табели 2.1. </w:t>
                  </w:r>
                </w:p>
                <w:tbl>
                  <w:tblPr>
                    <w:tblW w:w="5285" w:type="pct"/>
                    <w:tblCellSpacing w:w="0" w:type="dxa"/>
                    <w:tblBorders>
                      <w:top w:val="inset" w:sz="8" w:space="0" w:color="000000"/>
                      <w:left w:val="inset" w:sz="8" w:space="0" w:color="000000"/>
                      <w:bottom w:val="inset" w:sz="8" w:space="0" w:color="000000"/>
                      <w:right w:val="inset" w:sz="8" w:space="0" w:color="000000"/>
                    </w:tblBorders>
                    <w:tblCellMar>
                      <w:left w:w="0" w:type="dxa"/>
                      <w:right w:w="0" w:type="dxa"/>
                    </w:tblCellMar>
                    <w:tblLook w:val="04A0" w:firstRow="1" w:lastRow="0" w:firstColumn="1" w:lastColumn="0" w:noHBand="0" w:noVBand="1"/>
                  </w:tblPr>
                  <w:tblGrid>
                    <w:gridCol w:w="1435"/>
                    <w:gridCol w:w="2089"/>
                    <w:gridCol w:w="1307"/>
                    <w:gridCol w:w="1307"/>
                    <w:gridCol w:w="1307"/>
                    <w:gridCol w:w="1437"/>
                  </w:tblGrid>
                  <w:tr w:rsidR="001520E9" w:rsidRPr="00B14896" w:rsidTr="008726F0">
                    <w:trPr>
                      <w:tblCellSpacing w:w="0" w:type="dxa"/>
                    </w:trPr>
                    <w:tc>
                      <w:tcPr>
                        <w:tcW w:w="807"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1520E9" w:rsidRPr="00B14896" w:rsidRDefault="001520E9" w:rsidP="001520E9">
                        <w:pPr>
                          <w:pStyle w:val="NormalWeb"/>
                          <w:rPr>
                            <w:rFonts w:asciiTheme="minorHAnsi" w:hAnsiTheme="minorHAnsi" w:cstheme="minorHAnsi"/>
                            <w:bCs/>
                            <w:noProof/>
                            <w:sz w:val="20"/>
                            <w:szCs w:val="20"/>
                            <w:lang w:val="sr-Latn-RS"/>
                          </w:rPr>
                        </w:pPr>
                        <w:r w:rsidRPr="00B14896">
                          <w:rPr>
                            <w:rFonts w:asciiTheme="minorHAnsi" w:hAnsiTheme="minorHAnsi" w:cstheme="minorHAnsi"/>
                            <w:bCs/>
                            <w:noProof/>
                            <w:sz w:val="20"/>
                            <w:szCs w:val="20"/>
                            <w:lang w:val="sr-Latn-RS"/>
                          </w:rPr>
                          <w:t>Индексни</w:t>
                        </w:r>
                        <w:r w:rsidRPr="00B14896">
                          <w:rPr>
                            <w:rFonts w:asciiTheme="minorHAnsi" w:hAnsiTheme="minorHAnsi" w:cstheme="minorHAnsi"/>
                            <w:bCs/>
                            <w:noProof/>
                            <w:sz w:val="20"/>
                            <w:szCs w:val="20"/>
                            <w:lang w:val="sr-Latn-RS"/>
                          </w:rPr>
                          <w:br/>
                          <w:t>број</w:t>
                        </w:r>
                        <w:r w:rsidRPr="00B14896">
                          <w:rPr>
                            <w:rFonts w:asciiTheme="minorHAnsi" w:hAnsiTheme="minorHAnsi" w:cstheme="minorHAnsi"/>
                            <w:bCs/>
                            <w:noProof/>
                            <w:sz w:val="20"/>
                            <w:szCs w:val="20"/>
                            <w:lang w:val="sr-Latn-RS"/>
                          </w:rPr>
                          <w:br/>
                          <w:t xml:space="preserve">отпада </w:t>
                        </w:r>
                      </w:p>
                    </w:tc>
                    <w:tc>
                      <w:tcPr>
                        <w:tcW w:w="1176"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1520E9" w:rsidRPr="00B14896" w:rsidRDefault="001520E9" w:rsidP="001520E9">
                        <w:pPr>
                          <w:pStyle w:val="NormalWeb"/>
                          <w:rPr>
                            <w:rFonts w:asciiTheme="minorHAnsi" w:hAnsiTheme="minorHAnsi" w:cstheme="minorHAnsi"/>
                            <w:bCs/>
                            <w:noProof/>
                            <w:sz w:val="20"/>
                            <w:szCs w:val="20"/>
                            <w:lang w:val="sr-Latn-RS"/>
                          </w:rPr>
                        </w:pPr>
                        <w:r w:rsidRPr="00B14896">
                          <w:rPr>
                            <w:rFonts w:asciiTheme="minorHAnsi" w:hAnsiTheme="minorHAnsi" w:cstheme="minorHAnsi"/>
                            <w:bCs/>
                            <w:noProof/>
                            <w:sz w:val="20"/>
                            <w:szCs w:val="20"/>
                            <w:lang w:val="sr-Latn-RS"/>
                          </w:rPr>
                          <w:t xml:space="preserve">назив </w:t>
                        </w:r>
                      </w:p>
                    </w:tc>
                    <w:tc>
                      <w:tcPr>
                        <w:tcW w:w="736" w:type="pct"/>
                        <w:tcBorders>
                          <w:top w:val="outset" w:sz="6" w:space="0" w:color="auto"/>
                          <w:left w:val="outset" w:sz="6" w:space="0" w:color="auto"/>
                          <w:bottom w:val="outset" w:sz="6" w:space="0" w:color="auto"/>
                          <w:right w:val="outset" w:sz="6" w:space="0" w:color="auto"/>
                        </w:tcBorders>
                        <w:noWrap/>
                        <w:tcMar>
                          <w:top w:w="45" w:type="dxa"/>
                          <w:left w:w="45" w:type="dxa"/>
                          <w:bottom w:w="45" w:type="dxa"/>
                          <w:right w:w="45" w:type="dxa"/>
                        </w:tcMar>
                        <w:vAlign w:val="center"/>
                        <w:hideMark/>
                      </w:tcPr>
                      <w:p w:rsidR="001520E9" w:rsidRPr="00B14896" w:rsidRDefault="001520E9" w:rsidP="001520E9">
                        <w:pPr>
                          <w:pStyle w:val="NormalWeb"/>
                          <w:rPr>
                            <w:rFonts w:asciiTheme="minorHAnsi" w:hAnsiTheme="minorHAnsi" w:cstheme="minorHAnsi"/>
                            <w:bCs/>
                            <w:noProof/>
                            <w:sz w:val="20"/>
                            <w:szCs w:val="20"/>
                            <w:lang w:val="sr-Latn-RS"/>
                          </w:rPr>
                        </w:pPr>
                        <w:r w:rsidRPr="00B14896">
                          <w:rPr>
                            <w:rFonts w:asciiTheme="minorHAnsi" w:hAnsiTheme="minorHAnsi" w:cstheme="minorHAnsi"/>
                            <w:bCs/>
                            <w:noProof/>
                            <w:sz w:val="20"/>
                            <w:szCs w:val="20"/>
                            <w:lang w:val="sr-Latn-RS"/>
                          </w:rPr>
                          <w:t xml:space="preserve">R операција </w:t>
                        </w:r>
                      </w:p>
                    </w:tc>
                    <w:tc>
                      <w:tcPr>
                        <w:tcW w:w="736" w:type="pct"/>
                        <w:tcBorders>
                          <w:top w:val="outset" w:sz="6" w:space="0" w:color="auto"/>
                          <w:left w:val="outset" w:sz="6" w:space="0" w:color="auto"/>
                          <w:bottom w:val="outset" w:sz="6" w:space="0" w:color="auto"/>
                          <w:right w:val="outset" w:sz="6" w:space="0" w:color="auto"/>
                        </w:tcBorders>
                        <w:noWrap/>
                        <w:tcMar>
                          <w:top w:w="45" w:type="dxa"/>
                          <w:left w:w="45" w:type="dxa"/>
                          <w:bottom w:w="45" w:type="dxa"/>
                          <w:right w:w="45" w:type="dxa"/>
                        </w:tcMar>
                        <w:vAlign w:val="center"/>
                        <w:hideMark/>
                      </w:tcPr>
                      <w:p w:rsidR="001520E9" w:rsidRPr="00B14896" w:rsidRDefault="001520E9" w:rsidP="001520E9">
                        <w:pPr>
                          <w:pStyle w:val="NormalWeb"/>
                          <w:rPr>
                            <w:rFonts w:asciiTheme="minorHAnsi" w:hAnsiTheme="minorHAnsi" w:cstheme="minorHAnsi"/>
                            <w:bCs/>
                            <w:noProof/>
                            <w:sz w:val="20"/>
                            <w:szCs w:val="20"/>
                            <w:lang w:val="sr-Latn-RS"/>
                          </w:rPr>
                        </w:pPr>
                        <w:r w:rsidRPr="00B14896">
                          <w:rPr>
                            <w:rFonts w:asciiTheme="minorHAnsi" w:hAnsiTheme="minorHAnsi" w:cstheme="minorHAnsi"/>
                            <w:bCs/>
                            <w:noProof/>
                            <w:sz w:val="20"/>
                            <w:szCs w:val="20"/>
                            <w:lang w:val="sr-Latn-RS"/>
                          </w:rPr>
                          <w:t xml:space="preserve">D операција </w:t>
                        </w:r>
                      </w:p>
                    </w:tc>
                    <w:tc>
                      <w:tcPr>
                        <w:tcW w:w="736"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1520E9" w:rsidRPr="00B14896" w:rsidRDefault="001520E9" w:rsidP="001520E9">
                        <w:pPr>
                          <w:pStyle w:val="NormalWeb"/>
                          <w:rPr>
                            <w:rFonts w:asciiTheme="minorHAnsi" w:hAnsiTheme="minorHAnsi" w:cstheme="minorHAnsi"/>
                            <w:bCs/>
                            <w:noProof/>
                            <w:sz w:val="20"/>
                            <w:szCs w:val="20"/>
                            <w:lang w:val="sr-Latn-RS"/>
                          </w:rPr>
                        </w:pPr>
                        <w:r w:rsidRPr="00B14896">
                          <w:rPr>
                            <w:rFonts w:asciiTheme="minorHAnsi" w:hAnsiTheme="minorHAnsi" w:cstheme="minorHAnsi"/>
                            <w:bCs/>
                            <w:noProof/>
                            <w:sz w:val="20"/>
                            <w:szCs w:val="20"/>
                            <w:lang w:val="sr-Latn-RS"/>
                          </w:rPr>
                          <w:t>Капацитет складишта</w:t>
                        </w:r>
                        <w:r w:rsidRPr="00B14896">
                          <w:rPr>
                            <w:rFonts w:asciiTheme="minorHAnsi" w:hAnsiTheme="minorHAnsi" w:cstheme="minorHAnsi"/>
                            <w:bCs/>
                            <w:noProof/>
                            <w:sz w:val="20"/>
                            <w:szCs w:val="20"/>
                            <w:lang w:val="sr-Latn-RS"/>
                          </w:rPr>
                          <w:br/>
                          <w:t>у једном тренутку</w:t>
                        </w:r>
                        <w:r w:rsidRPr="00B14896">
                          <w:rPr>
                            <w:rFonts w:asciiTheme="minorHAnsi" w:hAnsiTheme="minorHAnsi" w:cstheme="minorHAnsi"/>
                            <w:bCs/>
                            <w:noProof/>
                            <w:sz w:val="20"/>
                            <w:szCs w:val="20"/>
                            <w:lang w:val="sr-Latn-RS"/>
                          </w:rPr>
                          <w:br/>
                          <w:t xml:space="preserve">у тонама </w:t>
                        </w:r>
                      </w:p>
                    </w:tc>
                    <w:tc>
                      <w:tcPr>
                        <w:tcW w:w="809"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1520E9" w:rsidRPr="00B14896" w:rsidRDefault="001520E9" w:rsidP="001520E9">
                        <w:pPr>
                          <w:pStyle w:val="NormalWeb"/>
                          <w:rPr>
                            <w:rFonts w:asciiTheme="minorHAnsi" w:hAnsiTheme="minorHAnsi" w:cstheme="minorHAnsi"/>
                            <w:bCs/>
                            <w:noProof/>
                            <w:sz w:val="20"/>
                            <w:szCs w:val="20"/>
                            <w:lang w:val="sr-Latn-RS"/>
                          </w:rPr>
                        </w:pPr>
                        <w:r w:rsidRPr="00B14896">
                          <w:rPr>
                            <w:rFonts w:asciiTheme="minorHAnsi" w:hAnsiTheme="minorHAnsi" w:cstheme="minorHAnsi"/>
                            <w:bCs/>
                            <w:noProof/>
                            <w:sz w:val="20"/>
                            <w:szCs w:val="20"/>
                            <w:lang w:val="sr-Latn-RS"/>
                          </w:rPr>
                          <w:t>Годишњи</w:t>
                        </w:r>
                        <w:r w:rsidRPr="00B14896">
                          <w:rPr>
                            <w:rFonts w:asciiTheme="minorHAnsi" w:hAnsiTheme="minorHAnsi" w:cstheme="minorHAnsi"/>
                            <w:bCs/>
                            <w:noProof/>
                            <w:sz w:val="20"/>
                            <w:szCs w:val="20"/>
                            <w:lang w:val="sr-Latn-RS"/>
                          </w:rPr>
                          <w:br/>
                          <w:t>капацитет складишта</w:t>
                        </w:r>
                        <w:r w:rsidRPr="00B14896">
                          <w:rPr>
                            <w:rFonts w:asciiTheme="minorHAnsi" w:hAnsiTheme="minorHAnsi" w:cstheme="minorHAnsi"/>
                            <w:bCs/>
                            <w:noProof/>
                            <w:sz w:val="20"/>
                            <w:szCs w:val="20"/>
                            <w:lang w:val="sr-Latn-RS"/>
                          </w:rPr>
                          <w:br/>
                          <w:t xml:space="preserve">у тонама </w:t>
                        </w:r>
                      </w:p>
                    </w:tc>
                  </w:tr>
                  <w:tr w:rsidR="001520E9" w:rsidRPr="00B14896" w:rsidTr="008726F0">
                    <w:trPr>
                      <w:tblCellSpacing w:w="0" w:type="dxa"/>
                    </w:trPr>
                    <w:tc>
                      <w:tcPr>
                        <w:tcW w:w="807"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1520E9" w:rsidRPr="00B14896" w:rsidRDefault="001520E9" w:rsidP="001520E9">
                        <w:pPr>
                          <w:pStyle w:val="NormalWeb"/>
                          <w:rPr>
                            <w:rFonts w:asciiTheme="minorHAnsi" w:hAnsiTheme="minorHAnsi" w:cstheme="minorHAnsi"/>
                            <w:bCs/>
                            <w:noProof/>
                            <w:sz w:val="20"/>
                            <w:szCs w:val="20"/>
                            <w:lang w:val="sr-Latn-RS"/>
                          </w:rPr>
                        </w:pPr>
                        <w:r w:rsidRPr="00B14896">
                          <w:rPr>
                            <w:rFonts w:asciiTheme="minorHAnsi" w:hAnsiTheme="minorHAnsi" w:cstheme="minorHAnsi"/>
                            <w:bCs/>
                            <w:noProof/>
                            <w:sz w:val="20"/>
                            <w:szCs w:val="20"/>
                            <w:lang w:val="sr-Latn-RS"/>
                          </w:rPr>
                          <w:t xml:space="preserve"> 07 02 99      </w:t>
                        </w:r>
                      </w:p>
                    </w:tc>
                    <w:tc>
                      <w:tcPr>
                        <w:tcW w:w="1176"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1520E9" w:rsidRPr="00B14896" w:rsidRDefault="001520E9" w:rsidP="001520E9">
                        <w:pPr>
                          <w:pStyle w:val="NormalWeb"/>
                          <w:rPr>
                            <w:rFonts w:asciiTheme="minorHAnsi" w:hAnsiTheme="minorHAnsi" w:cstheme="minorHAnsi"/>
                            <w:bCs/>
                            <w:noProof/>
                            <w:sz w:val="20"/>
                            <w:szCs w:val="20"/>
                            <w:lang w:val="sr-Latn-RS"/>
                          </w:rPr>
                        </w:pPr>
                      </w:p>
                      <w:p w:rsidR="001520E9" w:rsidRPr="00B14896" w:rsidRDefault="001520E9" w:rsidP="001520E9">
                        <w:pPr>
                          <w:pStyle w:val="NormalWeb"/>
                          <w:rPr>
                            <w:rFonts w:asciiTheme="minorHAnsi" w:hAnsiTheme="minorHAnsi" w:cstheme="minorHAnsi"/>
                            <w:bCs/>
                            <w:noProof/>
                            <w:sz w:val="20"/>
                            <w:szCs w:val="20"/>
                            <w:lang w:val="sr-Cyrl-RS"/>
                          </w:rPr>
                        </w:pPr>
                        <w:r w:rsidRPr="00B14896">
                          <w:rPr>
                            <w:rFonts w:asciiTheme="minorHAnsi" w:hAnsiTheme="minorHAnsi" w:cstheme="minorHAnsi"/>
                            <w:bCs/>
                            <w:noProof/>
                            <w:sz w:val="20"/>
                            <w:szCs w:val="20"/>
                            <w:lang w:val="sr-Cyrl-RS"/>
                          </w:rPr>
                          <w:t>Отпади који нису другачије специфицирани</w:t>
                        </w:r>
                      </w:p>
                      <w:p w:rsidR="001520E9" w:rsidRPr="00B14896" w:rsidRDefault="001520E9" w:rsidP="001520E9">
                        <w:pPr>
                          <w:pStyle w:val="NormalWeb"/>
                          <w:rPr>
                            <w:rFonts w:asciiTheme="minorHAnsi" w:hAnsiTheme="minorHAnsi" w:cstheme="minorHAnsi"/>
                            <w:bCs/>
                            <w:noProof/>
                            <w:sz w:val="20"/>
                            <w:szCs w:val="20"/>
                            <w:lang w:val="sr-Latn-RS"/>
                          </w:rPr>
                        </w:pPr>
                        <w:r w:rsidRPr="00B14896">
                          <w:rPr>
                            <w:rFonts w:asciiTheme="minorHAnsi" w:hAnsiTheme="minorHAnsi" w:cstheme="minorHAnsi"/>
                            <w:bCs/>
                            <w:noProof/>
                            <w:sz w:val="20"/>
                            <w:szCs w:val="20"/>
                            <w:lang w:val="sr-Cyrl-RS"/>
                          </w:rPr>
                          <w:t>(Отпадни кондензат)</w:t>
                        </w:r>
                        <w:r w:rsidRPr="00B14896">
                          <w:rPr>
                            <w:rFonts w:asciiTheme="minorHAnsi" w:hAnsiTheme="minorHAnsi" w:cstheme="minorHAnsi"/>
                            <w:bCs/>
                            <w:noProof/>
                            <w:sz w:val="20"/>
                            <w:szCs w:val="20"/>
                            <w:lang w:val="sr-Latn-RS"/>
                          </w:rPr>
                          <w:t xml:space="preserve">  </w:t>
                        </w:r>
                      </w:p>
                    </w:tc>
                    <w:tc>
                      <w:tcPr>
                        <w:tcW w:w="736"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1520E9" w:rsidRPr="00B14896" w:rsidRDefault="001520E9" w:rsidP="001520E9">
                        <w:pPr>
                          <w:pStyle w:val="NormalWeb"/>
                          <w:rPr>
                            <w:rFonts w:asciiTheme="minorHAnsi" w:hAnsiTheme="minorHAnsi" w:cstheme="minorHAnsi"/>
                            <w:bCs/>
                            <w:noProof/>
                            <w:sz w:val="20"/>
                            <w:szCs w:val="20"/>
                            <w:lang w:val="sr-Latn-RS"/>
                          </w:rPr>
                        </w:pPr>
                        <w:r w:rsidRPr="00B14896">
                          <w:rPr>
                            <w:rFonts w:asciiTheme="minorHAnsi" w:hAnsiTheme="minorHAnsi" w:cstheme="minorHAnsi"/>
                            <w:bCs/>
                            <w:noProof/>
                            <w:sz w:val="20"/>
                            <w:szCs w:val="20"/>
                            <w:lang w:val="sr-Latn-RS"/>
                          </w:rPr>
                          <w:t xml:space="preserve">  </w:t>
                        </w:r>
                      </w:p>
                    </w:tc>
                    <w:tc>
                      <w:tcPr>
                        <w:tcW w:w="736"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1520E9" w:rsidRPr="00B14896" w:rsidRDefault="001520E9" w:rsidP="001520E9">
                        <w:pPr>
                          <w:pStyle w:val="NormalWeb"/>
                          <w:rPr>
                            <w:rFonts w:asciiTheme="minorHAnsi" w:hAnsiTheme="minorHAnsi" w:cstheme="minorHAnsi"/>
                            <w:bCs/>
                            <w:noProof/>
                            <w:sz w:val="20"/>
                            <w:szCs w:val="20"/>
                            <w:lang w:val="sr-Latn-RS"/>
                          </w:rPr>
                        </w:pPr>
                        <w:r w:rsidRPr="00B14896">
                          <w:rPr>
                            <w:rFonts w:asciiTheme="minorHAnsi" w:hAnsiTheme="minorHAnsi" w:cstheme="minorHAnsi"/>
                            <w:bCs/>
                            <w:noProof/>
                            <w:sz w:val="20"/>
                            <w:szCs w:val="20"/>
                            <w:lang w:val="sr-Latn-RS"/>
                          </w:rPr>
                          <w:t>D15 /R13</w:t>
                        </w:r>
                      </w:p>
                    </w:tc>
                    <w:tc>
                      <w:tcPr>
                        <w:tcW w:w="736"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1520E9" w:rsidRPr="00B14896" w:rsidRDefault="001520E9" w:rsidP="001520E9">
                        <w:pPr>
                          <w:pStyle w:val="NormalWeb"/>
                          <w:rPr>
                            <w:rFonts w:asciiTheme="minorHAnsi" w:hAnsiTheme="minorHAnsi" w:cstheme="minorHAnsi"/>
                            <w:bCs/>
                            <w:noProof/>
                            <w:sz w:val="20"/>
                            <w:szCs w:val="20"/>
                            <w:lang w:val="sr-Latn-RS"/>
                          </w:rPr>
                        </w:pPr>
                        <w:r w:rsidRPr="00B14896">
                          <w:rPr>
                            <w:rFonts w:asciiTheme="minorHAnsi" w:hAnsiTheme="minorHAnsi" w:cstheme="minorHAnsi"/>
                            <w:bCs/>
                            <w:noProof/>
                            <w:sz w:val="20"/>
                            <w:szCs w:val="20"/>
                            <w:lang w:val="sr-Latn-RS"/>
                          </w:rPr>
                          <w:t>  20</w:t>
                        </w:r>
                      </w:p>
                    </w:tc>
                    <w:tc>
                      <w:tcPr>
                        <w:tcW w:w="809"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1520E9" w:rsidRPr="00B14896" w:rsidRDefault="001520E9" w:rsidP="001520E9">
                        <w:pPr>
                          <w:pStyle w:val="NormalWeb"/>
                          <w:rPr>
                            <w:rFonts w:asciiTheme="minorHAnsi" w:hAnsiTheme="minorHAnsi" w:cstheme="minorHAnsi"/>
                            <w:bCs/>
                            <w:noProof/>
                            <w:sz w:val="20"/>
                            <w:szCs w:val="20"/>
                            <w:lang w:val="sr-Latn-RS"/>
                          </w:rPr>
                        </w:pPr>
                        <w:r w:rsidRPr="00B14896">
                          <w:rPr>
                            <w:rFonts w:asciiTheme="minorHAnsi" w:hAnsiTheme="minorHAnsi" w:cstheme="minorHAnsi"/>
                            <w:bCs/>
                            <w:noProof/>
                            <w:sz w:val="20"/>
                            <w:szCs w:val="20"/>
                            <w:lang w:val="sr-Latn-RS"/>
                          </w:rPr>
                          <w:t xml:space="preserve"> 60 </w:t>
                        </w:r>
                      </w:p>
                    </w:tc>
                  </w:tr>
                </w:tbl>
                <w:p w:rsidR="00683C6D" w:rsidRPr="00B14896" w:rsidRDefault="00683C6D" w:rsidP="00683C6D">
                  <w:pPr>
                    <w:tabs>
                      <w:tab w:val="right" w:pos="9356"/>
                    </w:tabs>
                    <w:ind w:right="-511"/>
                    <w:rPr>
                      <w:rFonts w:asciiTheme="minorHAnsi" w:hAnsiTheme="minorHAnsi" w:cstheme="minorHAnsi"/>
                      <w:noProof/>
                      <w:sz w:val="20"/>
                      <w:szCs w:val="20"/>
                      <w:lang w:val="sr-Latn-RS"/>
                    </w:rPr>
                  </w:pPr>
                </w:p>
                <w:p w:rsidR="00683C6D" w:rsidRPr="00683C6D" w:rsidRDefault="00683C6D" w:rsidP="00683C6D">
                  <w:pPr>
                    <w:tabs>
                      <w:tab w:val="right" w:pos="9356"/>
                    </w:tabs>
                    <w:ind w:right="-511"/>
                    <w:rPr>
                      <w:rFonts w:asciiTheme="minorHAnsi" w:hAnsiTheme="minorHAnsi" w:cstheme="minorHAnsi"/>
                      <w:b/>
                      <w:sz w:val="20"/>
                      <w:szCs w:val="20"/>
                      <w:lang w:val="sr-Latn-RS"/>
                    </w:rPr>
                  </w:pPr>
                  <w:r w:rsidRPr="00683C6D">
                    <w:rPr>
                      <w:rFonts w:asciiTheme="minorHAnsi" w:hAnsiTheme="minorHAnsi" w:cstheme="minorHAnsi"/>
                      <w:b/>
                      <w:sz w:val="20"/>
                      <w:szCs w:val="20"/>
                      <w:lang w:val="sr-Latn-RS"/>
                    </w:rPr>
                    <w:t xml:space="preserve">Опасан отпад који се складишти у објекту </w:t>
                  </w:r>
                </w:p>
                <w:p w:rsidR="00683C6D" w:rsidRPr="00683C6D" w:rsidRDefault="00683C6D" w:rsidP="00683C6D">
                  <w:pPr>
                    <w:tabs>
                      <w:tab w:val="right" w:pos="9356"/>
                    </w:tabs>
                    <w:ind w:right="-511"/>
                    <w:jc w:val="both"/>
                    <w:rPr>
                      <w:rFonts w:asciiTheme="minorHAnsi" w:eastAsiaTheme="minorHAnsi" w:hAnsiTheme="minorHAnsi" w:cstheme="minorHAnsi"/>
                      <w:sz w:val="20"/>
                      <w:szCs w:val="20"/>
                      <w:lang w:val="sr-Cyrl-RS"/>
                    </w:rPr>
                  </w:pPr>
                  <w:r w:rsidRPr="00683C6D">
                    <w:rPr>
                      <w:rFonts w:asciiTheme="minorHAnsi" w:hAnsiTheme="minorHAnsi" w:cstheme="minorHAnsi"/>
                      <w:sz w:val="20"/>
                      <w:szCs w:val="20"/>
                      <w:lang w:val="sr-Cyrl-RS"/>
                    </w:rPr>
                    <w:lastRenderedPageBreak/>
                    <w:t xml:space="preserve">Оператер </w:t>
                  </w:r>
                  <w:r w:rsidRPr="00683C6D">
                    <w:rPr>
                      <w:rFonts w:asciiTheme="minorHAnsi" w:eastAsiaTheme="minorHAnsi" w:hAnsiTheme="minorHAnsi" w:cstheme="minorHAnsi"/>
                      <w:sz w:val="20"/>
                      <w:szCs w:val="20"/>
                      <w:lang w:val="sr-Latn-RS"/>
                    </w:rPr>
                    <w:t>TARKETT DOO BAČKA PALANKA</w:t>
                  </w:r>
                  <w:r w:rsidRPr="00683C6D">
                    <w:rPr>
                      <w:rFonts w:asciiTheme="minorHAnsi" w:eastAsiaTheme="minorHAnsi" w:hAnsiTheme="minorHAnsi" w:cstheme="minorHAnsi"/>
                      <w:sz w:val="20"/>
                      <w:szCs w:val="20"/>
                      <w:lang w:val="sr-Cyrl-RS"/>
                    </w:rPr>
                    <w:t xml:space="preserve">, не прима и не користи опасан отпад у току свог технолошког поступка. </w:t>
                  </w:r>
                </w:p>
                <w:p w:rsidR="00683C6D" w:rsidRPr="00683C6D" w:rsidRDefault="00683C6D" w:rsidP="00683C6D">
                  <w:pPr>
                    <w:tabs>
                      <w:tab w:val="right" w:pos="9356"/>
                    </w:tabs>
                    <w:ind w:right="-511"/>
                    <w:jc w:val="both"/>
                    <w:rPr>
                      <w:rFonts w:asciiTheme="minorHAnsi" w:eastAsiaTheme="minorHAnsi" w:hAnsiTheme="minorHAnsi" w:cstheme="minorHAnsi"/>
                      <w:sz w:val="20"/>
                      <w:szCs w:val="20"/>
                      <w:lang w:val="sr-Latn-RS"/>
                    </w:rPr>
                  </w:pPr>
                  <w:r w:rsidRPr="00683C6D">
                    <w:rPr>
                      <w:rFonts w:asciiTheme="minorHAnsi" w:eastAsiaTheme="minorHAnsi" w:hAnsiTheme="minorHAnsi" w:cstheme="minorHAnsi"/>
                      <w:b/>
                      <w:sz w:val="20"/>
                      <w:szCs w:val="20"/>
                      <w:lang w:val="sr-Cyrl-RS"/>
                    </w:rPr>
                    <w:t>Опасан отпад је излазна фракција третмана отпада</w:t>
                  </w:r>
                  <w:r w:rsidRPr="00683C6D">
                    <w:rPr>
                      <w:rFonts w:asciiTheme="minorHAnsi" w:eastAsiaTheme="minorHAnsi" w:hAnsiTheme="minorHAnsi" w:cstheme="minorHAnsi"/>
                      <w:sz w:val="20"/>
                      <w:szCs w:val="20"/>
                      <w:lang w:val="sr-Cyrl-RS"/>
                    </w:rPr>
                    <w:t xml:space="preserve"> који се одвија у постројењу и привремено складишти у фабричком комплексу, у складишту опасног отпада</w:t>
                  </w:r>
                  <w:r w:rsidRPr="00683C6D">
                    <w:rPr>
                      <w:rFonts w:asciiTheme="minorHAnsi" w:eastAsiaTheme="minorHAnsi" w:hAnsiTheme="minorHAnsi" w:cstheme="minorHAnsi"/>
                      <w:sz w:val="20"/>
                      <w:szCs w:val="20"/>
                      <w:lang w:val="sr-Latn-RS"/>
                    </w:rPr>
                    <w:t xml:space="preserve"> </w:t>
                  </w:r>
                  <w:r w:rsidRPr="00683C6D">
                    <w:rPr>
                      <w:rFonts w:asciiTheme="minorHAnsi" w:eastAsiaTheme="minorHAnsi" w:hAnsiTheme="minorHAnsi" w:cstheme="minorHAnsi"/>
                      <w:sz w:val="20"/>
                      <w:szCs w:val="20"/>
                      <w:lang w:val="sr-Cyrl-RS"/>
                    </w:rPr>
                    <w:t xml:space="preserve">до предаје овлашћеном оператеру.  </w:t>
                  </w:r>
                </w:p>
                <w:p w:rsidR="00683C6D" w:rsidRPr="00683C6D" w:rsidRDefault="00683C6D" w:rsidP="00683C6D">
                  <w:pPr>
                    <w:tabs>
                      <w:tab w:val="right" w:pos="9356"/>
                    </w:tabs>
                    <w:ind w:right="-511"/>
                    <w:jc w:val="both"/>
                    <w:rPr>
                      <w:rFonts w:asciiTheme="minorHAnsi" w:hAnsiTheme="minorHAnsi" w:cstheme="minorHAnsi"/>
                      <w:b/>
                      <w:bCs/>
                      <w:sz w:val="20"/>
                      <w:szCs w:val="20"/>
                      <w:lang w:val="sr-Cyrl-RS"/>
                    </w:rPr>
                  </w:pPr>
                </w:p>
                <w:p w:rsidR="00683C6D" w:rsidRPr="00683C6D" w:rsidRDefault="00683C6D" w:rsidP="00683C6D">
                  <w:pPr>
                    <w:tabs>
                      <w:tab w:val="right" w:pos="9356"/>
                    </w:tabs>
                    <w:ind w:right="-511"/>
                    <w:rPr>
                      <w:rFonts w:asciiTheme="minorHAnsi" w:hAnsiTheme="minorHAnsi" w:cstheme="minorHAnsi"/>
                      <w:sz w:val="20"/>
                      <w:szCs w:val="20"/>
                      <w:lang w:val="sr-Latn-RS"/>
                    </w:rPr>
                  </w:pPr>
                  <w:r w:rsidRPr="00683C6D">
                    <w:rPr>
                      <w:rFonts w:asciiTheme="minorHAnsi" w:hAnsiTheme="minorHAnsi" w:cstheme="minorHAnsi"/>
                      <w:sz w:val="20"/>
                      <w:szCs w:val="20"/>
                      <w:lang w:val="sr-Latn-RS"/>
                    </w:rPr>
                    <w:t xml:space="preserve">Максимални дневни капацитет за пријем опасног отпада, према акту о процени утицаја. </w:t>
                  </w:r>
                </w:p>
                <w:p w:rsidR="00683C6D" w:rsidRPr="00683C6D" w:rsidRDefault="00683C6D" w:rsidP="00683C6D">
                  <w:pPr>
                    <w:tabs>
                      <w:tab w:val="right" w:pos="9356"/>
                    </w:tabs>
                    <w:ind w:right="-511"/>
                    <w:rPr>
                      <w:rFonts w:asciiTheme="minorHAnsi" w:hAnsiTheme="minorHAnsi" w:cstheme="minorHAnsi"/>
                      <w:b/>
                      <w:sz w:val="20"/>
                      <w:szCs w:val="20"/>
                      <w:lang w:val="sr-Latn-RS"/>
                    </w:rPr>
                  </w:pPr>
                  <w:r w:rsidRPr="00683C6D">
                    <w:rPr>
                      <w:rFonts w:asciiTheme="minorHAnsi" w:hAnsiTheme="minorHAnsi" w:cstheme="minorHAnsi"/>
                      <w:sz w:val="20"/>
                      <w:szCs w:val="20"/>
                      <w:lang w:val="sr-Latn-RS"/>
                    </w:rPr>
                    <w:t xml:space="preserve">– </w:t>
                  </w:r>
                  <w:r w:rsidRPr="00683C6D">
                    <w:rPr>
                      <w:rFonts w:asciiTheme="minorHAnsi" w:hAnsiTheme="minorHAnsi" w:cstheme="minorHAnsi"/>
                      <w:b/>
                      <w:sz w:val="20"/>
                      <w:szCs w:val="20"/>
                      <w:lang w:val="sr-Cyrl-RS"/>
                    </w:rPr>
                    <w:t>Оператер не прима опасан отпад</w:t>
                  </w:r>
                  <w:r w:rsidRPr="00683C6D">
                    <w:rPr>
                      <w:rFonts w:asciiTheme="minorHAnsi" w:hAnsiTheme="minorHAnsi" w:cstheme="minorHAnsi"/>
                      <w:b/>
                      <w:sz w:val="20"/>
                      <w:szCs w:val="20"/>
                      <w:lang w:val="sr-Latn-RS"/>
                    </w:rPr>
                    <w:t xml:space="preserve"> .</w:t>
                  </w:r>
                </w:p>
                <w:p w:rsidR="00683C6D" w:rsidRPr="00B14896" w:rsidRDefault="00683C6D" w:rsidP="00683C6D">
                  <w:pPr>
                    <w:tabs>
                      <w:tab w:val="right" w:pos="9356"/>
                    </w:tabs>
                    <w:ind w:right="-511"/>
                    <w:rPr>
                      <w:rFonts w:asciiTheme="minorHAnsi" w:hAnsiTheme="minorHAnsi" w:cstheme="minorHAnsi"/>
                      <w:b/>
                      <w:color w:val="FF0000"/>
                      <w:sz w:val="20"/>
                      <w:szCs w:val="20"/>
                      <w:lang w:val="sr-Latn-RS"/>
                    </w:rPr>
                  </w:pPr>
                </w:p>
                <w:p w:rsidR="00683C6D" w:rsidRPr="00683C6D" w:rsidRDefault="00683C6D" w:rsidP="00683C6D">
                  <w:pPr>
                    <w:tabs>
                      <w:tab w:val="right" w:pos="9356"/>
                    </w:tabs>
                    <w:ind w:right="-511"/>
                    <w:rPr>
                      <w:rFonts w:asciiTheme="minorHAnsi" w:eastAsiaTheme="minorHAnsi" w:hAnsiTheme="minorHAnsi" w:cstheme="minorHAnsi"/>
                      <w:b/>
                      <w:bCs/>
                      <w:sz w:val="20"/>
                      <w:szCs w:val="20"/>
                      <w:lang w:val="en-US"/>
                    </w:rPr>
                  </w:pPr>
                  <w:r w:rsidRPr="00683C6D">
                    <w:rPr>
                      <w:rFonts w:asciiTheme="minorHAnsi" w:eastAsiaTheme="minorHAnsi" w:hAnsiTheme="minorHAnsi" w:cstheme="minorHAnsi"/>
                      <w:b/>
                      <w:bCs/>
                      <w:sz w:val="20"/>
                      <w:szCs w:val="20"/>
                      <w:lang w:val="sr-Latn-RS"/>
                    </w:rPr>
                    <w:t xml:space="preserve">Неопасан отпад који се третира у постројењу </w:t>
                  </w:r>
                </w:p>
                <w:p w:rsidR="00683C6D" w:rsidRPr="00683C6D" w:rsidRDefault="00683C6D" w:rsidP="00683C6D">
                  <w:pPr>
                    <w:tabs>
                      <w:tab w:val="right" w:pos="9356"/>
                    </w:tabs>
                    <w:ind w:right="-511"/>
                    <w:rPr>
                      <w:rFonts w:asciiTheme="minorHAnsi" w:eastAsiaTheme="minorHAnsi" w:hAnsiTheme="minorHAnsi" w:cstheme="minorHAnsi"/>
                      <w:bCs/>
                      <w:sz w:val="20"/>
                      <w:szCs w:val="20"/>
                      <w:lang w:val="sr-Latn-RS"/>
                    </w:rPr>
                  </w:pPr>
                  <w:r w:rsidRPr="00683C6D">
                    <w:rPr>
                      <w:rFonts w:asciiTheme="minorHAnsi" w:eastAsiaTheme="minorHAnsi" w:hAnsiTheme="minorHAnsi" w:cstheme="minorHAnsi"/>
                      <w:bCs/>
                      <w:sz w:val="20"/>
                      <w:szCs w:val="20"/>
                      <w:lang w:val="sr-Latn-RS"/>
                    </w:rPr>
                    <w:t xml:space="preserve">Максимални дневни капацитет за пријем неопасног отпада у постројење, према акту о процени утицаја, је 0,15t. </w:t>
                  </w:r>
                </w:p>
                <w:p w:rsidR="00683C6D" w:rsidRPr="00683C6D" w:rsidRDefault="00683C6D" w:rsidP="00683C6D">
                  <w:pPr>
                    <w:tabs>
                      <w:tab w:val="right" w:pos="9356"/>
                    </w:tabs>
                    <w:ind w:right="-511"/>
                    <w:rPr>
                      <w:rFonts w:asciiTheme="minorHAnsi" w:eastAsiaTheme="minorHAnsi" w:hAnsiTheme="minorHAnsi" w:cstheme="minorHAnsi"/>
                      <w:bCs/>
                      <w:sz w:val="20"/>
                      <w:szCs w:val="20"/>
                      <w:lang w:val="sr-Latn-RS"/>
                    </w:rPr>
                  </w:pPr>
                  <w:r w:rsidRPr="00683C6D">
                    <w:rPr>
                      <w:rFonts w:asciiTheme="minorHAnsi" w:eastAsiaTheme="minorHAnsi" w:hAnsiTheme="minorHAnsi" w:cstheme="minorHAnsi"/>
                      <w:bCs/>
                      <w:sz w:val="20"/>
                      <w:szCs w:val="20"/>
                      <w:lang w:val="sr-Latn-RS"/>
                    </w:rPr>
                    <w:t xml:space="preserve">Максимални дневни капацитет постројења за третман неопасног отпада је укупно 0,15t. </w:t>
                  </w:r>
                </w:p>
                <w:p w:rsidR="00683C6D" w:rsidRPr="00683C6D" w:rsidRDefault="00683C6D" w:rsidP="00683C6D">
                  <w:pPr>
                    <w:tabs>
                      <w:tab w:val="right" w:pos="9356"/>
                    </w:tabs>
                    <w:ind w:right="-511"/>
                    <w:rPr>
                      <w:rFonts w:asciiTheme="minorHAnsi" w:eastAsiaTheme="minorHAnsi" w:hAnsiTheme="minorHAnsi" w:cstheme="minorHAnsi"/>
                      <w:bCs/>
                      <w:sz w:val="20"/>
                      <w:szCs w:val="20"/>
                      <w:lang w:val="sr-Latn-RS"/>
                    </w:rPr>
                  </w:pPr>
                  <w:r w:rsidRPr="00683C6D">
                    <w:rPr>
                      <w:rFonts w:asciiTheme="minorHAnsi" w:eastAsiaTheme="minorHAnsi" w:hAnsiTheme="minorHAnsi" w:cstheme="minorHAnsi"/>
                      <w:bCs/>
                      <w:sz w:val="20"/>
                      <w:szCs w:val="20"/>
                      <w:lang w:val="sr-Latn-RS"/>
                    </w:rPr>
                    <w:t xml:space="preserve">Максимални годишњи капацитет постројења за третман неопасног отпада је укупно 60t. </w:t>
                  </w:r>
                </w:p>
                <w:p w:rsidR="00683C6D" w:rsidRPr="00683C6D" w:rsidRDefault="00683C6D" w:rsidP="00683C6D">
                  <w:pPr>
                    <w:tabs>
                      <w:tab w:val="right" w:pos="9356"/>
                    </w:tabs>
                    <w:ind w:right="-511"/>
                    <w:rPr>
                      <w:rFonts w:asciiTheme="minorHAnsi" w:eastAsiaTheme="minorHAnsi" w:hAnsiTheme="minorHAnsi" w:cstheme="minorHAnsi"/>
                      <w:bCs/>
                      <w:sz w:val="20"/>
                      <w:szCs w:val="20"/>
                      <w:lang w:val="sr-Latn-RS"/>
                    </w:rPr>
                  </w:pPr>
                </w:p>
                <w:p w:rsidR="00683C6D" w:rsidRPr="00683C6D" w:rsidRDefault="00683C6D" w:rsidP="00E06ED6">
                  <w:pPr>
                    <w:tabs>
                      <w:tab w:val="right" w:pos="9356"/>
                    </w:tabs>
                    <w:ind w:right="-30"/>
                    <w:rPr>
                      <w:rFonts w:asciiTheme="minorHAnsi" w:eastAsiaTheme="minorHAnsi" w:hAnsiTheme="minorHAnsi" w:cstheme="minorHAnsi"/>
                      <w:bCs/>
                      <w:sz w:val="20"/>
                      <w:szCs w:val="20"/>
                      <w:lang w:val="sr-Latn-RS"/>
                    </w:rPr>
                  </w:pPr>
                  <w:r w:rsidRPr="00683C6D">
                    <w:rPr>
                      <w:rFonts w:asciiTheme="minorHAnsi" w:eastAsiaTheme="minorHAnsi" w:hAnsiTheme="minorHAnsi" w:cstheme="minorHAnsi"/>
                      <w:bCs/>
                      <w:sz w:val="20"/>
                      <w:szCs w:val="20"/>
                      <w:lang w:val="sr-Latn-RS"/>
                    </w:rPr>
                    <w:t xml:space="preserve">Капацитет постројења за третман неопасног отпада по врстама отпада и њиховом капацитету дат је у табели 2.3. </w:t>
                  </w:r>
                </w:p>
                <w:tbl>
                  <w:tblPr>
                    <w:tblW w:w="8737" w:type="dxa"/>
                    <w:tblCellSpacing w:w="0" w:type="dxa"/>
                    <w:tblBorders>
                      <w:top w:val="inset" w:sz="8" w:space="0" w:color="000000"/>
                      <w:left w:val="inset" w:sz="8" w:space="0" w:color="000000"/>
                      <w:bottom w:val="inset" w:sz="8" w:space="0" w:color="000000"/>
                      <w:right w:val="inset" w:sz="8" w:space="0" w:color="000000"/>
                    </w:tblBorders>
                    <w:tblCellMar>
                      <w:left w:w="0" w:type="dxa"/>
                      <w:right w:w="0" w:type="dxa"/>
                    </w:tblCellMar>
                    <w:tblLook w:val="04A0" w:firstRow="1" w:lastRow="0" w:firstColumn="1" w:lastColumn="0" w:noHBand="0" w:noVBand="1"/>
                  </w:tblPr>
                  <w:tblGrid>
                    <w:gridCol w:w="1354"/>
                    <w:gridCol w:w="2001"/>
                    <w:gridCol w:w="1234"/>
                    <w:gridCol w:w="1347"/>
                    <w:gridCol w:w="1361"/>
                    <w:gridCol w:w="1440"/>
                  </w:tblGrid>
                  <w:tr w:rsidR="00683C6D" w:rsidRPr="00683C6D" w:rsidTr="00683C6D">
                    <w:trPr>
                      <w:tblCellSpacing w:w="0" w:type="dxa"/>
                    </w:trPr>
                    <w:tc>
                      <w:tcPr>
                        <w:tcW w:w="775"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683C6D" w:rsidRPr="00683C6D" w:rsidRDefault="00683C6D" w:rsidP="00683C6D">
                        <w:pPr>
                          <w:tabs>
                            <w:tab w:val="right" w:pos="9356"/>
                          </w:tabs>
                          <w:ind w:right="-511"/>
                          <w:rPr>
                            <w:rFonts w:asciiTheme="minorHAnsi" w:eastAsiaTheme="minorHAnsi" w:hAnsiTheme="minorHAnsi" w:cstheme="minorHAnsi"/>
                            <w:bCs/>
                            <w:sz w:val="20"/>
                            <w:szCs w:val="20"/>
                            <w:lang w:val="sr-Latn-RS"/>
                          </w:rPr>
                        </w:pPr>
                        <w:r w:rsidRPr="00683C6D">
                          <w:rPr>
                            <w:rFonts w:asciiTheme="minorHAnsi" w:eastAsiaTheme="minorHAnsi" w:hAnsiTheme="minorHAnsi" w:cstheme="minorHAnsi"/>
                            <w:bCs/>
                            <w:sz w:val="20"/>
                            <w:szCs w:val="20"/>
                            <w:lang w:val="sr-Latn-RS"/>
                          </w:rPr>
                          <w:t>Индексни</w:t>
                        </w:r>
                        <w:r w:rsidRPr="00683C6D">
                          <w:rPr>
                            <w:rFonts w:asciiTheme="minorHAnsi" w:eastAsiaTheme="minorHAnsi" w:hAnsiTheme="minorHAnsi" w:cstheme="minorHAnsi"/>
                            <w:bCs/>
                            <w:sz w:val="20"/>
                            <w:szCs w:val="20"/>
                            <w:lang w:val="sr-Latn-RS"/>
                          </w:rPr>
                          <w:br/>
                          <w:t>број</w:t>
                        </w:r>
                        <w:r w:rsidRPr="00683C6D">
                          <w:rPr>
                            <w:rFonts w:asciiTheme="minorHAnsi" w:eastAsiaTheme="minorHAnsi" w:hAnsiTheme="minorHAnsi" w:cstheme="minorHAnsi"/>
                            <w:bCs/>
                            <w:sz w:val="20"/>
                            <w:szCs w:val="20"/>
                            <w:lang w:val="sr-Latn-RS"/>
                          </w:rPr>
                          <w:br/>
                          <w:t xml:space="preserve">отпада </w:t>
                        </w:r>
                      </w:p>
                    </w:tc>
                    <w:tc>
                      <w:tcPr>
                        <w:tcW w:w="1145"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683C6D" w:rsidRPr="00683C6D" w:rsidRDefault="00683C6D" w:rsidP="00683C6D">
                        <w:pPr>
                          <w:tabs>
                            <w:tab w:val="right" w:pos="9356"/>
                          </w:tabs>
                          <w:ind w:right="81"/>
                          <w:jc w:val="center"/>
                          <w:rPr>
                            <w:rFonts w:asciiTheme="minorHAnsi" w:eastAsiaTheme="minorHAnsi" w:hAnsiTheme="minorHAnsi" w:cstheme="minorHAnsi"/>
                            <w:bCs/>
                            <w:sz w:val="20"/>
                            <w:szCs w:val="20"/>
                            <w:lang w:val="sr-Latn-RS"/>
                          </w:rPr>
                        </w:pPr>
                        <w:r w:rsidRPr="00683C6D">
                          <w:rPr>
                            <w:rFonts w:asciiTheme="minorHAnsi" w:eastAsiaTheme="minorHAnsi" w:hAnsiTheme="minorHAnsi" w:cstheme="minorHAnsi"/>
                            <w:bCs/>
                            <w:sz w:val="20"/>
                            <w:szCs w:val="20"/>
                            <w:lang w:val="sr-Latn-RS"/>
                          </w:rPr>
                          <w:t xml:space="preserve">назив </w:t>
                        </w:r>
                      </w:p>
                    </w:tc>
                    <w:tc>
                      <w:tcPr>
                        <w:tcW w:w="706" w:type="pct"/>
                        <w:tcBorders>
                          <w:top w:val="outset" w:sz="6" w:space="0" w:color="auto"/>
                          <w:left w:val="outset" w:sz="6" w:space="0" w:color="auto"/>
                          <w:bottom w:val="outset" w:sz="6" w:space="0" w:color="auto"/>
                          <w:right w:val="outset" w:sz="6" w:space="0" w:color="auto"/>
                        </w:tcBorders>
                        <w:noWrap/>
                        <w:tcMar>
                          <w:top w:w="45" w:type="dxa"/>
                          <w:left w:w="45" w:type="dxa"/>
                          <w:bottom w:w="45" w:type="dxa"/>
                          <w:right w:w="45" w:type="dxa"/>
                        </w:tcMar>
                        <w:vAlign w:val="center"/>
                        <w:hideMark/>
                      </w:tcPr>
                      <w:p w:rsidR="00683C6D" w:rsidRPr="00683C6D" w:rsidRDefault="00683C6D" w:rsidP="00683C6D">
                        <w:pPr>
                          <w:tabs>
                            <w:tab w:val="right" w:pos="9356"/>
                          </w:tabs>
                          <w:ind w:right="93"/>
                          <w:jc w:val="center"/>
                          <w:rPr>
                            <w:rFonts w:asciiTheme="minorHAnsi" w:eastAsiaTheme="minorHAnsi" w:hAnsiTheme="minorHAnsi" w:cstheme="minorHAnsi"/>
                            <w:bCs/>
                            <w:sz w:val="20"/>
                            <w:szCs w:val="20"/>
                            <w:lang w:val="sr-Latn-RS"/>
                          </w:rPr>
                        </w:pPr>
                        <w:r w:rsidRPr="00683C6D">
                          <w:rPr>
                            <w:rFonts w:asciiTheme="minorHAnsi" w:eastAsiaTheme="minorHAnsi" w:hAnsiTheme="minorHAnsi" w:cstheme="minorHAnsi"/>
                            <w:bCs/>
                            <w:sz w:val="20"/>
                            <w:szCs w:val="20"/>
                            <w:lang w:val="sr-Latn-RS"/>
                          </w:rPr>
                          <w:t>R</w:t>
                        </w:r>
                      </w:p>
                      <w:p w:rsidR="00683C6D" w:rsidRPr="00683C6D" w:rsidRDefault="00683C6D" w:rsidP="00683C6D">
                        <w:pPr>
                          <w:tabs>
                            <w:tab w:val="right" w:pos="9356"/>
                          </w:tabs>
                          <w:ind w:right="93"/>
                          <w:jc w:val="center"/>
                          <w:rPr>
                            <w:rFonts w:asciiTheme="minorHAnsi" w:eastAsiaTheme="minorHAnsi" w:hAnsiTheme="minorHAnsi" w:cstheme="minorHAnsi"/>
                            <w:bCs/>
                            <w:sz w:val="20"/>
                            <w:szCs w:val="20"/>
                            <w:lang w:val="sr-Latn-RS"/>
                          </w:rPr>
                        </w:pPr>
                        <w:r w:rsidRPr="00683C6D">
                          <w:rPr>
                            <w:rFonts w:asciiTheme="minorHAnsi" w:eastAsiaTheme="minorHAnsi" w:hAnsiTheme="minorHAnsi" w:cstheme="minorHAnsi"/>
                            <w:bCs/>
                            <w:sz w:val="20"/>
                            <w:szCs w:val="20"/>
                            <w:lang w:val="sr-Latn-RS"/>
                          </w:rPr>
                          <w:t>операција</w:t>
                        </w:r>
                      </w:p>
                    </w:tc>
                    <w:tc>
                      <w:tcPr>
                        <w:tcW w:w="771" w:type="pct"/>
                        <w:tcBorders>
                          <w:top w:val="outset" w:sz="6" w:space="0" w:color="auto"/>
                          <w:left w:val="outset" w:sz="6" w:space="0" w:color="auto"/>
                          <w:bottom w:val="outset" w:sz="6" w:space="0" w:color="auto"/>
                          <w:right w:val="outset" w:sz="6" w:space="0" w:color="auto"/>
                        </w:tcBorders>
                        <w:noWrap/>
                        <w:tcMar>
                          <w:top w:w="45" w:type="dxa"/>
                          <w:left w:w="45" w:type="dxa"/>
                          <w:bottom w:w="45" w:type="dxa"/>
                          <w:right w:w="45" w:type="dxa"/>
                        </w:tcMar>
                        <w:vAlign w:val="center"/>
                        <w:hideMark/>
                      </w:tcPr>
                      <w:p w:rsidR="00683C6D" w:rsidRPr="00683C6D" w:rsidRDefault="00683C6D" w:rsidP="00683C6D">
                        <w:pPr>
                          <w:tabs>
                            <w:tab w:val="right" w:pos="9356"/>
                          </w:tabs>
                          <w:ind w:right="84"/>
                          <w:jc w:val="center"/>
                          <w:rPr>
                            <w:rFonts w:asciiTheme="minorHAnsi" w:eastAsiaTheme="minorHAnsi" w:hAnsiTheme="minorHAnsi" w:cstheme="minorHAnsi"/>
                            <w:bCs/>
                            <w:sz w:val="20"/>
                            <w:szCs w:val="20"/>
                            <w:lang w:val="sr-Latn-RS"/>
                          </w:rPr>
                        </w:pPr>
                        <w:r w:rsidRPr="00683C6D">
                          <w:rPr>
                            <w:rFonts w:asciiTheme="minorHAnsi" w:eastAsiaTheme="minorHAnsi" w:hAnsiTheme="minorHAnsi" w:cstheme="minorHAnsi"/>
                            <w:bCs/>
                            <w:sz w:val="20"/>
                            <w:szCs w:val="20"/>
                            <w:lang w:val="sr-Latn-RS"/>
                          </w:rPr>
                          <w:t xml:space="preserve">D операција </w:t>
                        </w:r>
                      </w:p>
                    </w:tc>
                    <w:tc>
                      <w:tcPr>
                        <w:tcW w:w="779"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683C6D" w:rsidRPr="00683C6D" w:rsidRDefault="00683C6D" w:rsidP="00683C6D">
                        <w:pPr>
                          <w:tabs>
                            <w:tab w:val="right" w:pos="9356"/>
                          </w:tabs>
                          <w:jc w:val="center"/>
                          <w:rPr>
                            <w:rFonts w:asciiTheme="minorHAnsi" w:eastAsiaTheme="minorHAnsi" w:hAnsiTheme="minorHAnsi" w:cstheme="minorHAnsi"/>
                            <w:bCs/>
                            <w:sz w:val="20"/>
                            <w:szCs w:val="20"/>
                            <w:lang w:val="sr-Latn-RS"/>
                          </w:rPr>
                        </w:pPr>
                        <w:r w:rsidRPr="00683C6D">
                          <w:rPr>
                            <w:rFonts w:asciiTheme="minorHAnsi" w:eastAsiaTheme="minorHAnsi" w:hAnsiTheme="minorHAnsi" w:cstheme="minorHAnsi"/>
                            <w:bCs/>
                            <w:sz w:val="20"/>
                            <w:szCs w:val="20"/>
                            <w:lang w:val="sr-Latn-RS"/>
                          </w:rPr>
                          <w:t>Дневни</w:t>
                        </w:r>
                        <w:r w:rsidRPr="00683C6D">
                          <w:rPr>
                            <w:rFonts w:asciiTheme="minorHAnsi" w:eastAsiaTheme="minorHAnsi" w:hAnsiTheme="minorHAnsi" w:cstheme="minorHAnsi"/>
                            <w:bCs/>
                            <w:sz w:val="20"/>
                            <w:szCs w:val="20"/>
                            <w:lang w:val="sr-Latn-RS"/>
                          </w:rPr>
                          <w:br/>
                          <w:t>капацитет третмана</w:t>
                        </w:r>
                        <w:r w:rsidRPr="00683C6D">
                          <w:rPr>
                            <w:rFonts w:asciiTheme="minorHAnsi" w:eastAsiaTheme="minorHAnsi" w:hAnsiTheme="minorHAnsi" w:cstheme="minorHAnsi"/>
                            <w:bCs/>
                            <w:sz w:val="20"/>
                            <w:szCs w:val="20"/>
                            <w:lang w:val="sr-Latn-RS"/>
                          </w:rPr>
                          <w:br/>
                          <w:t xml:space="preserve">у тонама </w:t>
                        </w:r>
                      </w:p>
                    </w:tc>
                    <w:tc>
                      <w:tcPr>
                        <w:tcW w:w="824"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683C6D" w:rsidRPr="00683C6D" w:rsidRDefault="00683C6D" w:rsidP="00683C6D">
                        <w:pPr>
                          <w:tabs>
                            <w:tab w:val="right" w:pos="9356"/>
                          </w:tabs>
                          <w:ind w:right="88"/>
                          <w:jc w:val="center"/>
                          <w:rPr>
                            <w:rFonts w:asciiTheme="minorHAnsi" w:eastAsiaTheme="minorHAnsi" w:hAnsiTheme="minorHAnsi" w:cstheme="minorHAnsi"/>
                            <w:bCs/>
                            <w:sz w:val="20"/>
                            <w:szCs w:val="20"/>
                            <w:lang w:val="sr-Latn-RS"/>
                          </w:rPr>
                        </w:pPr>
                        <w:r w:rsidRPr="00683C6D">
                          <w:rPr>
                            <w:rFonts w:asciiTheme="minorHAnsi" w:eastAsiaTheme="minorHAnsi" w:hAnsiTheme="minorHAnsi" w:cstheme="minorHAnsi"/>
                            <w:bCs/>
                            <w:sz w:val="20"/>
                            <w:szCs w:val="20"/>
                            <w:lang w:val="sr-Latn-RS"/>
                          </w:rPr>
                          <w:t>Годишњи</w:t>
                        </w:r>
                        <w:r w:rsidRPr="00683C6D">
                          <w:rPr>
                            <w:rFonts w:asciiTheme="minorHAnsi" w:eastAsiaTheme="minorHAnsi" w:hAnsiTheme="minorHAnsi" w:cstheme="minorHAnsi"/>
                            <w:bCs/>
                            <w:sz w:val="20"/>
                            <w:szCs w:val="20"/>
                            <w:lang w:val="sr-Latn-RS"/>
                          </w:rPr>
                          <w:br/>
                          <w:t>капацитет третмана</w:t>
                        </w:r>
                        <w:r w:rsidRPr="00683C6D">
                          <w:rPr>
                            <w:rFonts w:asciiTheme="minorHAnsi" w:eastAsiaTheme="minorHAnsi" w:hAnsiTheme="minorHAnsi" w:cstheme="minorHAnsi"/>
                            <w:bCs/>
                            <w:sz w:val="20"/>
                            <w:szCs w:val="20"/>
                            <w:lang w:val="sr-Latn-RS"/>
                          </w:rPr>
                          <w:br/>
                          <w:t xml:space="preserve">у тонама </w:t>
                        </w:r>
                      </w:p>
                    </w:tc>
                  </w:tr>
                  <w:tr w:rsidR="00683C6D" w:rsidRPr="00683C6D" w:rsidTr="00683C6D">
                    <w:trPr>
                      <w:tblCellSpacing w:w="0" w:type="dxa"/>
                    </w:trPr>
                    <w:tc>
                      <w:tcPr>
                        <w:tcW w:w="775"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683C6D" w:rsidRPr="00683C6D" w:rsidRDefault="00683C6D" w:rsidP="00683C6D">
                        <w:pPr>
                          <w:tabs>
                            <w:tab w:val="right" w:pos="9356"/>
                          </w:tabs>
                          <w:ind w:right="-511"/>
                          <w:rPr>
                            <w:rFonts w:asciiTheme="minorHAnsi" w:eastAsiaTheme="minorHAnsi" w:hAnsiTheme="minorHAnsi" w:cstheme="minorHAnsi"/>
                            <w:bCs/>
                            <w:sz w:val="20"/>
                            <w:szCs w:val="20"/>
                            <w:lang w:val="sr-Latn-RS"/>
                          </w:rPr>
                        </w:pPr>
                        <w:r w:rsidRPr="00683C6D">
                          <w:rPr>
                            <w:rFonts w:asciiTheme="minorHAnsi" w:eastAsiaTheme="minorHAnsi" w:hAnsiTheme="minorHAnsi" w:cstheme="minorHAnsi"/>
                            <w:bCs/>
                            <w:sz w:val="20"/>
                            <w:szCs w:val="20"/>
                            <w:lang w:val="sr-Latn-RS"/>
                          </w:rPr>
                          <w:t xml:space="preserve"> 07 02 99      </w:t>
                        </w:r>
                      </w:p>
                    </w:tc>
                    <w:tc>
                      <w:tcPr>
                        <w:tcW w:w="1145"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683C6D" w:rsidRPr="00683C6D" w:rsidRDefault="00683C6D" w:rsidP="00683C6D">
                        <w:pPr>
                          <w:tabs>
                            <w:tab w:val="right" w:pos="9356"/>
                          </w:tabs>
                          <w:ind w:right="81"/>
                          <w:rPr>
                            <w:rFonts w:asciiTheme="minorHAnsi" w:eastAsiaTheme="minorHAnsi" w:hAnsiTheme="minorHAnsi" w:cstheme="minorHAnsi"/>
                            <w:bCs/>
                            <w:sz w:val="20"/>
                            <w:szCs w:val="20"/>
                            <w:lang w:val="sr-Cyrl-RS"/>
                          </w:rPr>
                        </w:pPr>
                        <w:r w:rsidRPr="00683C6D">
                          <w:rPr>
                            <w:rFonts w:asciiTheme="minorHAnsi" w:eastAsiaTheme="minorHAnsi" w:hAnsiTheme="minorHAnsi" w:cstheme="minorHAnsi"/>
                            <w:bCs/>
                            <w:sz w:val="20"/>
                            <w:szCs w:val="20"/>
                            <w:lang w:val="sr-Cyrl-RS"/>
                          </w:rPr>
                          <w:t>Отпади који нису другачије специфицирани</w:t>
                        </w:r>
                      </w:p>
                      <w:p w:rsidR="00683C6D" w:rsidRPr="00683C6D" w:rsidRDefault="00683C6D" w:rsidP="00683C6D">
                        <w:pPr>
                          <w:tabs>
                            <w:tab w:val="right" w:pos="9356"/>
                          </w:tabs>
                          <w:ind w:right="81"/>
                          <w:jc w:val="center"/>
                          <w:rPr>
                            <w:rFonts w:asciiTheme="minorHAnsi" w:eastAsiaTheme="minorHAnsi" w:hAnsiTheme="minorHAnsi" w:cstheme="minorHAnsi"/>
                            <w:bCs/>
                            <w:sz w:val="20"/>
                            <w:szCs w:val="20"/>
                            <w:lang w:val="sr-Latn-RS"/>
                          </w:rPr>
                        </w:pPr>
                        <w:r w:rsidRPr="00683C6D">
                          <w:rPr>
                            <w:rFonts w:asciiTheme="minorHAnsi" w:eastAsiaTheme="minorHAnsi" w:hAnsiTheme="minorHAnsi" w:cstheme="minorHAnsi"/>
                            <w:bCs/>
                            <w:sz w:val="20"/>
                            <w:szCs w:val="20"/>
                            <w:lang w:val="sr-Cyrl-RS"/>
                          </w:rPr>
                          <w:t>(Отпадни кондензат)</w:t>
                        </w:r>
                        <w:r w:rsidRPr="00683C6D">
                          <w:rPr>
                            <w:rFonts w:asciiTheme="minorHAnsi" w:eastAsiaTheme="minorHAnsi" w:hAnsiTheme="minorHAnsi" w:cstheme="minorHAnsi"/>
                            <w:bCs/>
                            <w:sz w:val="20"/>
                            <w:szCs w:val="20"/>
                            <w:lang w:val="sr-Latn-RS"/>
                          </w:rPr>
                          <w:t> </w:t>
                        </w:r>
                      </w:p>
                    </w:tc>
                    <w:tc>
                      <w:tcPr>
                        <w:tcW w:w="706"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3C6D" w:rsidRPr="00683C6D" w:rsidRDefault="00683C6D" w:rsidP="00683C6D">
                        <w:pPr>
                          <w:tabs>
                            <w:tab w:val="right" w:pos="9356"/>
                          </w:tabs>
                          <w:ind w:right="93"/>
                          <w:rPr>
                            <w:rFonts w:asciiTheme="minorHAnsi" w:eastAsiaTheme="minorHAnsi" w:hAnsiTheme="minorHAnsi" w:cstheme="minorHAnsi"/>
                            <w:bCs/>
                            <w:sz w:val="20"/>
                            <w:szCs w:val="20"/>
                            <w:lang w:val="sr-Latn-RS"/>
                          </w:rPr>
                        </w:pPr>
                        <w:r w:rsidRPr="00683C6D">
                          <w:rPr>
                            <w:rFonts w:asciiTheme="minorHAnsi" w:eastAsiaTheme="minorHAnsi" w:hAnsiTheme="minorHAnsi" w:cstheme="minorHAnsi"/>
                            <w:bCs/>
                            <w:sz w:val="20"/>
                            <w:szCs w:val="20"/>
                            <w:lang w:val="sr-Latn-RS"/>
                          </w:rPr>
                          <w:t xml:space="preserve">  </w:t>
                        </w:r>
                      </w:p>
                    </w:tc>
                    <w:tc>
                      <w:tcPr>
                        <w:tcW w:w="771"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3C6D" w:rsidRPr="00683C6D" w:rsidRDefault="00683C6D" w:rsidP="00683C6D">
                        <w:pPr>
                          <w:tabs>
                            <w:tab w:val="right" w:pos="9356"/>
                          </w:tabs>
                          <w:ind w:right="84"/>
                          <w:jc w:val="center"/>
                          <w:rPr>
                            <w:rFonts w:asciiTheme="minorHAnsi" w:eastAsiaTheme="minorHAnsi" w:hAnsiTheme="minorHAnsi" w:cstheme="minorHAnsi"/>
                            <w:bCs/>
                            <w:sz w:val="20"/>
                            <w:szCs w:val="20"/>
                            <w:lang w:val="sr-Latn-RS"/>
                          </w:rPr>
                        </w:pPr>
                        <w:r w:rsidRPr="00683C6D">
                          <w:rPr>
                            <w:rFonts w:asciiTheme="minorHAnsi" w:eastAsiaTheme="minorHAnsi" w:hAnsiTheme="minorHAnsi" w:cstheme="minorHAnsi"/>
                            <w:bCs/>
                            <w:sz w:val="20"/>
                            <w:szCs w:val="20"/>
                            <w:lang w:val="sr-Latn-RS"/>
                          </w:rPr>
                          <w:t>  D10</w:t>
                        </w:r>
                      </w:p>
                    </w:tc>
                    <w:tc>
                      <w:tcPr>
                        <w:tcW w:w="779"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3C6D" w:rsidRPr="00683C6D" w:rsidRDefault="00683C6D" w:rsidP="00683C6D">
                        <w:pPr>
                          <w:tabs>
                            <w:tab w:val="right" w:pos="9356"/>
                          </w:tabs>
                          <w:jc w:val="center"/>
                          <w:rPr>
                            <w:rFonts w:asciiTheme="minorHAnsi" w:eastAsiaTheme="minorHAnsi" w:hAnsiTheme="minorHAnsi" w:cstheme="minorHAnsi"/>
                            <w:bCs/>
                            <w:sz w:val="20"/>
                            <w:szCs w:val="20"/>
                            <w:lang w:val="sr-Latn-RS"/>
                          </w:rPr>
                        </w:pPr>
                        <w:r w:rsidRPr="00683C6D">
                          <w:rPr>
                            <w:rFonts w:asciiTheme="minorHAnsi" w:eastAsiaTheme="minorHAnsi" w:hAnsiTheme="minorHAnsi" w:cstheme="minorHAnsi"/>
                            <w:bCs/>
                            <w:sz w:val="20"/>
                            <w:szCs w:val="20"/>
                            <w:lang w:val="sr-Latn-RS"/>
                          </w:rPr>
                          <w:t>  0,15</w:t>
                        </w:r>
                      </w:p>
                    </w:tc>
                    <w:tc>
                      <w:tcPr>
                        <w:tcW w:w="824"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683C6D" w:rsidRPr="00683C6D" w:rsidRDefault="00683C6D" w:rsidP="00683C6D">
                        <w:pPr>
                          <w:tabs>
                            <w:tab w:val="right" w:pos="9356"/>
                          </w:tabs>
                          <w:ind w:right="88"/>
                          <w:jc w:val="center"/>
                          <w:rPr>
                            <w:rFonts w:asciiTheme="minorHAnsi" w:eastAsiaTheme="minorHAnsi" w:hAnsiTheme="minorHAnsi" w:cstheme="minorHAnsi"/>
                            <w:bCs/>
                            <w:sz w:val="20"/>
                            <w:szCs w:val="20"/>
                            <w:lang w:val="sr-Latn-RS"/>
                          </w:rPr>
                        </w:pPr>
                        <w:r w:rsidRPr="00683C6D">
                          <w:rPr>
                            <w:rFonts w:asciiTheme="minorHAnsi" w:eastAsiaTheme="minorHAnsi" w:hAnsiTheme="minorHAnsi" w:cstheme="minorHAnsi"/>
                            <w:bCs/>
                            <w:sz w:val="20"/>
                            <w:szCs w:val="20"/>
                            <w:lang w:val="sr-Latn-RS"/>
                          </w:rPr>
                          <w:t xml:space="preserve">60  </w:t>
                        </w:r>
                      </w:p>
                    </w:tc>
                  </w:tr>
                </w:tbl>
                <w:p w:rsidR="00683C6D" w:rsidRPr="00683C6D" w:rsidRDefault="00683C6D" w:rsidP="00683C6D">
                  <w:pPr>
                    <w:tabs>
                      <w:tab w:val="right" w:pos="9356"/>
                    </w:tabs>
                    <w:ind w:right="-511"/>
                    <w:jc w:val="both"/>
                    <w:rPr>
                      <w:rFonts w:asciiTheme="minorHAnsi" w:hAnsiTheme="minorHAnsi" w:cstheme="minorHAnsi"/>
                      <w:b/>
                      <w:bCs/>
                      <w:sz w:val="20"/>
                      <w:szCs w:val="20"/>
                      <w:lang w:val="sr-Latn-RS"/>
                    </w:rPr>
                  </w:pPr>
                  <w:r w:rsidRPr="00683C6D">
                    <w:rPr>
                      <w:rFonts w:asciiTheme="minorHAnsi" w:hAnsiTheme="minorHAnsi" w:cstheme="minorHAnsi"/>
                      <w:b/>
                      <w:sz w:val="20"/>
                      <w:szCs w:val="20"/>
                      <w:lang w:val="sr-Latn-RS"/>
                    </w:rPr>
                    <w:t xml:space="preserve"> Опасан отпад који се третира у постројењу </w:t>
                  </w:r>
                </w:p>
                <w:p w:rsidR="001520E9" w:rsidRPr="00B14896" w:rsidRDefault="00683C6D" w:rsidP="00683C6D">
                  <w:pPr>
                    <w:pStyle w:val="Normal1"/>
                    <w:spacing w:before="0" w:beforeAutospacing="0" w:after="0" w:afterAutospacing="0"/>
                    <w:ind w:left="370"/>
                    <w:rPr>
                      <w:rFonts w:asciiTheme="minorHAnsi" w:hAnsiTheme="minorHAnsi"/>
                      <w:b/>
                      <w:sz w:val="20"/>
                      <w:szCs w:val="20"/>
                    </w:rPr>
                  </w:pPr>
                  <w:r w:rsidRPr="00B14896">
                    <w:rPr>
                      <w:rFonts w:asciiTheme="minorHAnsi" w:hAnsiTheme="minorHAnsi" w:cstheme="minorHAnsi"/>
                      <w:sz w:val="20"/>
                      <w:szCs w:val="20"/>
                      <w:lang w:val="sr-Cyrl-RS"/>
                    </w:rPr>
                    <w:t xml:space="preserve">Оператер </w:t>
                  </w:r>
                  <w:r w:rsidRPr="00B14896">
                    <w:rPr>
                      <w:rFonts w:asciiTheme="minorHAnsi" w:eastAsiaTheme="minorHAnsi" w:hAnsiTheme="minorHAnsi" w:cstheme="minorHAnsi"/>
                      <w:sz w:val="20"/>
                      <w:szCs w:val="20"/>
                      <w:lang w:val="sr-Latn-RS"/>
                    </w:rPr>
                    <w:t>TARKETT DOO BAČKA PALANKA</w:t>
                  </w:r>
                  <w:r w:rsidRPr="00B14896">
                    <w:rPr>
                      <w:rFonts w:asciiTheme="minorHAnsi" w:eastAsiaTheme="minorHAnsi" w:hAnsiTheme="minorHAnsi" w:cstheme="minorHAnsi"/>
                      <w:sz w:val="20"/>
                      <w:szCs w:val="20"/>
                      <w:lang w:val="sr-Cyrl-RS"/>
                    </w:rPr>
                    <w:t>, не прима и не третира опасан отпад у току свог технолошког поступка</w:t>
                  </w:r>
                </w:p>
                <w:p w:rsidR="001520E9" w:rsidRPr="00B14896" w:rsidRDefault="001520E9" w:rsidP="008726F0">
                  <w:pPr>
                    <w:pStyle w:val="Normal1"/>
                    <w:spacing w:before="0" w:beforeAutospacing="0" w:after="0" w:afterAutospacing="0"/>
                    <w:ind w:firstLine="10"/>
                    <w:rPr>
                      <w:rFonts w:asciiTheme="minorHAnsi" w:hAnsiTheme="minorHAnsi"/>
                      <w:b/>
                      <w:sz w:val="20"/>
                      <w:szCs w:val="20"/>
                    </w:rPr>
                  </w:pPr>
                  <w:r w:rsidRPr="00B14896">
                    <w:rPr>
                      <w:rFonts w:asciiTheme="minorHAnsi" w:hAnsiTheme="minorHAnsi"/>
                      <w:b/>
                      <w:sz w:val="20"/>
                      <w:szCs w:val="20"/>
                    </w:rPr>
                    <w:t>Локација, капацитет постројења и кратак опис:</w:t>
                  </w:r>
                </w:p>
                <w:p w:rsidR="00B14896" w:rsidRPr="00B14896" w:rsidRDefault="00B14896" w:rsidP="00E06ED6">
                  <w:pPr>
                    <w:tabs>
                      <w:tab w:val="right" w:pos="9356"/>
                    </w:tabs>
                    <w:ind w:right="60"/>
                    <w:jc w:val="both"/>
                    <w:rPr>
                      <w:rFonts w:asciiTheme="minorHAnsi" w:eastAsiaTheme="minorHAnsi" w:hAnsiTheme="minorHAnsi" w:cstheme="minorHAnsi"/>
                      <w:sz w:val="20"/>
                      <w:szCs w:val="20"/>
                      <w:lang w:val="sr-Latn-CS"/>
                    </w:rPr>
                  </w:pPr>
                  <w:r w:rsidRPr="00B14896">
                    <w:rPr>
                      <w:rFonts w:asciiTheme="minorHAnsi" w:eastAsiaTheme="minorHAnsi" w:hAnsiTheme="minorHAnsi" w:cstheme="minorHAnsi"/>
                      <w:sz w:val="20"/>
                      <w:szCs w:val="20"/>
                      <w:lang w:val="pl-PL"/>
                    </w:rPr>
                    <w:t>Микролокацијски</w:t>
                  </w:r>
                  <w:r w:rsidRPr="00B14896">
                    <w:rPr>
                      <w:rFonts w:asciiTheme="minorHAnsi" w:eastAsiaTheme="minorHAnsi" w:hAnsiTheme="minorHAnsi" w:cstheme="minorHAnsi"/>
                      <w:sz w:val="20"/>
                      <w:szCs w:val="20"/>
                      <w:lang w:val="hr-BA"/>
                    </w:rPr>
                    <w:t xml:space="preserve"> </w:t>
                  </w:r>
                  <w:r w:rsidRPr="00B14896">
                    <w:rPr>
                      <w:rFonts w:asciiTheme="minorHAnsi" w:eastAsiaTheme="minorHAnsi" w:hAnsiTheme="minorHAnsi" w:cstheme="minorHAnsi"/>
                      <w:sz w:val="20"/>
                      <w:szCs w:val="20"/>
                      <w:lang w:val="pl-PL"/>
                    </w:rPr>
                    <w:t>посматрано</w:t>
                  </w:r>
                  <w:r w:rsidRPr="00B14896">
                    <w:rPr>
                      <w:rFonts w:asciiTheme="minorHAnsi" w:eastAsiaTheme="minorHAnsi" w:hAnsiTheme="minorHAnsi" w:cstheme="minorHAnsi"/>
                      <w:sz w:val="20"/>
                      <w:szCs w:val="20"/>
                      <w:lang w:val="hr-BA"/>
                    </w:rPr>
                    <w:t xml:space="preserve">, </w:t>
                  </w:r>
                  <w:r w:rsidRPr="00B14896">
                    <w:rPr>
                      <w:rFonts w:asciiTheme="minorHAnsi" w:eastAsiaTheme="minorHAnsi" w:hAnsiTheme="minorHAnsi" w:cstheme="minorHAnsi"/>
                      <w:sz w:val="20"/>
                      <w:szCs w:val="20"/>
                      <w:lang w:val="pl-PL"/>
                    </w:rPr>
                    <w:t>земљи</w:t>
                  </w:r>
                  <w:r w:rsidRPr="00B14896">
                    <w:rPr>
                      <w:rFonts w:asciiTheme="minorHAnsi" w:eastAsiaTheme="minorHAnsi" w:hAnsiTheme="minorHAnsi" w:cstheme="minorHAnsi"/>
                      <w:sz w:val="20"/>
                      <w:szCs w:val="20"/>
                      <w:lang w:val="hr-BA"/>
                    </w:rPr>
                    <w:t>ш</w:t>
                  </w:r>
                  <w:r w:rsidRPr="00B14896">
                    <w:rPr>
                      <w:rFonts w:asciiTheme="minorHAnsi" w:eastAsiaTheme="minorHAnsi" w:hAnsiTheme="minorHAnsi" w:cstheme="minorHAnsi"/>
                      <w:sz w:val="20"/>
                      <w:szCs w:val="20"/>
                      <w:lang w:val="pl-PL"/>
                    </w:rPr>
                    <w:t>те</w:t>
                  </w:r>
                  <w:r w:rsidRPr="00B14896">
                    <w:rPr>
                      <w:rFonts w:asciiTheme="minorHAnsi" w:eastAsiaTheme="minorHAnsi" w:hAnsiTheme="minorHAnsi" w:cstheme="minorHAnsi"/>
                      <w:sz w:val="20"/>
                      <w:szCs w:val="20"/>
                      <w:lang w:val="hr-BA"/>
                    </w:rPr>
                    <w:t xml:space="preserve"> </w:t>
                  </w:r>
                  <w:r w:rsidRPr="00B14896">
                    <w:rPr>
                      <w:rFonts w:asciiTheme="minorHAnsi" w:eastAsiaTheme="minorHAnsi" w:hAnsiTheme="minorHAnsi" w:cstheme="minorHAnsi"/>
                      <w:sz w:val="20"/>
                      <w:szCs w:val="20"/>
                      <w:lang w:val="pl-PL"/>
                    </w:rPr>
                    <w:t>на</w:t>
                  </w:r>
                  <w:r w:rsidRPr="00B14896">
                    <w:rPr>
                      <w:rFonts w:asciiTheme="minorHAnsi" w:eastAsiaTheme="minorHAnsi" w:hAnsiTheme="minorHAnsi" w:cstheme="minorHAnsi"/>
                      <w:sz w:val="20"/>
                      <w:szCs w:val="20"/>
                      <w:lang w:val="hr-BA"/>
                    </w:rPr>
                    <w:t xml:space="preserve"> </w:t>
                  </w:r>
                  <w:r w:rsidRPr="00B14896">
                    <w:rPr>
                      <w:rFonts w:asciiTheme="minorHAnsi" w:eastAsiaTheme="minorHAnsi" w:hAnsiTheme="minorHAnsi" w:cstheme="minorHAnsi"/>
                      <w:sz w:val="20"/>
                      <w:szCs w:val="20"/>
                      <w:lang w:val="pl-PL"/>
                    </w:rPr>
                    <w:t>којем</w:t>
                  </w:r>
                  <w:r w:rsidRPr="00B14896">
                    <w:rPr>
                      <w:rFonts w:asciiTheme="minorHAnsi" w:eastAsiaTheme="minorHAnsi" w:hAnsiTheme="minorHAnsi" w:cstheme="minorHAnsi"/>
                      <w:sz w:val="20"/>
                      <w:szCs w:val="20"/>
                      <w:lang w:val="hr-BA"/>
                    </w:rPr>
                    <w:t xml:space="preserve"> </w:t>
                  </w:r>
                  <w:r w:rsidRPr="00B14896">
                    <w:rPr>
                      <w:rFonts w:asciiTheme="minorHAnsi" w:eastAsiaTheme="minorHAnsi" w:hAnsiTheme="minorHAnsi" w:cstheme="minorHAnsi"/>
                      <w:sz w:val="20"/>
                      <w:szCs w:val="20"/>
                      <w:lang w:val="pl-PL"/>
                    </w:rPr>
                    <w:t>се</w:t>
                  </w:r>
                  <w:r w:rsidRPr="00B14896">
                    <w:rPr>
                      <w:rFonts w:asciiTheme="minorHAnsi" w:eastAsiaTheme="minorHAnsi" w:hAnsiTheme="minorHAnsi" w:cstheme="minorHAnsi"/>
                      <w:sz w:val="20"/>
                      <w:szCs w:val="20"/>
                      <w:lang w:val="hr-BA"/>
                    </w:rPr>
                    <w:t xml:space="preserve"> </w:t>
                  </w:r>
                  <w:r w:rsidRPr="00B14896">
                    <w:rPr>
                      <w:rFonts w:asciiTheme="minorHAnsi" w:eastAsiaTheme="minorHAnsi" w:hAnsiTheme="minorHAnsi" w:cstheme="minorHAnsi"/>
                      <w:sz w:val="20"/>
                      <w:szCs w:val="20"/>
                      <w:lang w:val="pl-PL"/>
                    </w:rPr>
                    <w:t>налази</w:t>
                  </w:r>
                  <w:r w:rsidRPr="00B14896">
                    <w:rPr>
                      <w:rFonts w:asciiTheme="minorHAnsi" w:eastAsiaTheme="minorHAnsi" w:hAnsiTheme="minorHAnsi" w:cstheme="minorHAnsi"/>
                      <w:sz w:val="20"/>
                      <w:szCs w:val="20"/>
                      <w:lang w:val="hr-BA"/>
                    </w:rPr>
                    <w:t xml:space="preserve"> изграђени </w:t>
                  </w:r>
                  <w:r w:rsidRPr="00B14896">
                    <w:rPr>
                      <w:rFonts w:asciiTheme="minorHAnsi" w:eastAsiaTheme="minorHAnsi" w:hAnsiTheme="minorHAnsi" w:cstheme="minorHAnsi"/>
                      <w:sz w:val="20"/>
                      <w:szCs w:val="20"/>
                      <w:lang w:val="pl-PL"/>
                    </w:rPr>
                    <w:t>постоје</w:t>
                  </w:r>
                  <w:r w:rsidRPr="00B14896">
                    <w:rPr>
                      <w:rFonts w:asciiTheme="minorHAnsi" w:eastAsiaTheme="minorHAnsi" w:hAnsiTheme="minorHAnsi" w:cstheme="minorHAnsi"/>
                      <w:sz w:val="20"/>
                      <w:szCs w:val="20"/>
                      <w:lang w:val="hr-BA"/>
                    </w:rPr>
                    <w:t>ћ</w:t>
                  </w:r>
                  <w:r w:rsidRPr="00B14896">
                    <w:rPr>
                      <w:rFonts w:asciiTheme="minorHAnsi" w:eastAsiaTheme="minorHAnsi" w:hAnsiTheme="minorHAnsi" w:cstheme="minorHAnsi"/>
                      <w:sz w:val="20"/>
                      <w:szCs w:val="20"/>
                      <w:lang w:val="pl-PL"/>
                    </w:rPr>
                    <w:t>и</w:t>
                  </w:r>
                  <w:r w:rsidRPr="00B14896">
                    <w:rPr>
                      <w:rFonts w:asciiTheme="minorHAnsi" w:eastAsiaTheme="minorHAnsi" w:hAnsiTheme="minorHAnsi" w:cstheme="minorHAnsi"/>
                      <w:sz w:val="20"/>
                      <w:szCs w:val="20"/>
                      <w:lang w:val="hr-BA"/>
                    </w:rPr>
                    <w:t xml:space="preserve"> </w:t>
                  </w:r>
                  <w:r w:rsidRPr="00B14896">
                    <w:rPr>
                      <w:rFonts w:asciiTheme="minorHAnsi" w:eastAsiaTheme="minorHAnsi" w:hAnsiTheme="minorHAnsi" w:cstheme="minorHAnsi"/>
                      <w:sz w:val="20"/>
                      <w:szCs w:val="20"/>
                      <w:lang w:val="pl-PL"/>
                    </w:rPr>
                    <w:t>фабри</w:t>
                  </w:r>
                  <w:r w:rsidRPr="00B14896">
                    <w:rPr>
                      <w:rFonts w:asciiTheme="minorHAnsi" w:eastAsiaTheme="minorHAnsi" w:hAnsiTheme="minorHAnsi" w:cstheme="minorHAnsi"/>
                      <w:sz w:val="20"/>
                      <w:szCs w:val="20"/>
                      <w:lang w:val="hr-BA"/>
                    </w:rPr>
                    <w:t>ч</w:t>
                  </w:r>
                  <w:r w:rsidRPr="00B14896">
                    <w:rPr>
                      <w:rFonts w:asciiTheme="minorHAnsi" w:eastAsiaTheme="minorHAnsi" w:hAnsiTheme="minorHAnsi" w:cstheme="minorHAnsi"/>
                      <w:sz w:val="20"/>
                      <w:szCs w:val="20"/>
                      <w:lang w:val="pl-PL"/>
                    </w:rPr>
                    <w:t>ки</w:t>
                  </w:r>
                  <w:r w:rsidRPr="00B14896">
                    <w:rPr>
                      <w:rFonts w:asciiTheme="minorHAnsi" w:eastAsiaTheme="minorHAnsi" w:hAnsiTheme="minorHAnsi" w:cstheme="minorHAnsi"/>
                      <w:sz w:val="20"/>
                      <w:szCs w:val="20"/>
                      <w:lang w:val="hr-BA"/>
                    </w:rPr>
                    <w:t xml:space="preserve"> </w:t>
                  </w:r>
                  <w:r w:rsidRPr="00B14896">
                    <w:rPr>
                      <w:rFonts w:asciiTheme="minorHAnsi" w:eastAsiaTheme="minorHAnsi" w:hAnsiTheme="minorHAnsi" w:cstheme="minorHAnsi"/>
                      <w:sz w:val="20"/>
                      <w:szCs w:val="20"/>
                      <w:lang w:val="pl-PL"/>
                    </w:rPr>
                    <w:t>комплекс</w:t>
                  </w:r>
                  <w:r w:rsidRPr="00B14896">
                    <w:rPr>
                      <w:rFonts w:asciiTheme="minorHAnsi" w:eastAsiaTheme="minorHAnsi" w:hAnsiTheme="minorHAnsi" w:cstheme="minorHAnsi"/>
                      <w:sz w:val="20"/>
                      <w:szCs w:val="20"/>
                      <w:lang w:val="hr-BA"/>
                    </w:rPr>
                    <w:t xml:space="preserve"> </w:t>
                  </w:r>
                  <w:r w:rsidRPr="00B14896">
                    <w:rPr>
                      <w:rFonts w:asciiTheme="minorHAnsi" w:eastAsiaTheme="minorHAnsi" w:hAnsiTheme="minorHAnsi" w:cstheme="minorHAnsi"/>
                      <w:sz w:val="20"/>
                      <w:szCs w:val="20"/>
                      <w:lang w:val="ru-RU"/>
                    </w:rPr>
                    <w:t>''</w:t>
                  </w:r>
                  <w:r w:rsidRPr="00B14896">
                    <w:rPr>
                      <w:rFonts w:asciiTheme="minorHAnsi" w:eastAsiaTheme="minorHAnsi" w:hAnsiTheme="minorHAnsi" w:cstheme="minorHAnsi"/>
                      <w:sz w:val="20"/>
                      <w:szCs w:val="20"/>
                      <w:lang w:val="sr-Latn-CS"/>
                    </w:rPr>
                    <w:t>TARKETT</w:t>
                  </w:r>
                  <w:r w:rsidRPr="00B14896">
                    <w:rPr>
                      <w:rFonts w:asciiTheme="minorHAnsi" w:eastAsiaTheme="minorHAnsi" w:hAnsiTheme="minorHAnsi" w:cstheme="minorHAnsi"/>
                      <w:sz w:val="20"/>
                      <w:szCs w:val="20"/>
                      <w:lang w:val="ru-RU"/>
                    </w:rPr>
                    <w:t xml:space="preserve">'' ДОО, </w:t>
                  </w:r>
                  <w:r w:rsidRPr="00B14896">
                    <w:rPr>
                      <w:rFonts w:asciiTheme="minorHAnsi" w:eastAsiaTheme="minorHAnsi" w:hAnsiTheme="minorHAnsi" w:cstheme="minorHAnsi"/>
                      <w:sz w:val="20"/>
                      <w:szCs w:val="20"/>
                    </w:rPr>
                    <w:t xml:space="preserve">Бачка Паланка, Индустријска зона 14, </w:t>
                  </w:r>
                  <w:r w:rsidRPr="00B14896">
                    <w:rPr>
                      <w:rFonts w:asciiTheme="minorHAnsi" w:eastAsiaTheme="minorHAnsi" w:hAnsiTheme="minorHAnsi" w:cstheme="minorHAnsi"/>
                      <w:sz w:val="20"/>
                      <w:szCs w:val="20"/>
                      <w:lang w:val="ru-RU"/>
                    </w:rPr>
                    <w:t>налази</w:t>
                  </w:r>
                  <w:r w:rsidRPr="00B14896">
                    <w:rPr>
                      <w:rFonts w:asciiTheme="minorHAnsi" w:eastAsiaTheme="minorHAnsi" w:hAnsiTheme="minorHAnsi" w:cstheme="minorHAnsi"/>
                      <w:sz w:val="20"/>
                      <w:szCs w:val="20"/>
                      <w:lang w:val="hr-BA"/>
                    </w:rPr>
                    <w:t xml:space="preserve"> </w:t>
                  </w:r>
                  <w:r w:rsidRPr="00B14896">
                    <w:rPr>
                      <w:rFonts w:asciiTheme="minorHAnsi" w:eastAsiaTheme="minorHAnsi" w:hAnsiTheme="minorHAnsi" w:cstheme="minorHAnsi"/>
                      <w:sz w:val="20"/>
                      <w:szCs w:val="20"/>
                      <w:lang w:val="ru-RU"/>
                    </w:rPr>
                    <w:t>се</w:t>
                  </w:r>
                  <w:r w:rsidRPr="00B14896">
                    <w:rPr>
                      <w:rFonts w:asciiTheme="minorHAnsi" w:eastAsiaTheme="minorHAnsi" w:hAnsiTheme="minorHAnsi" w:cstheme="minorHAnsi"/>
                      <w:sz w:val="20"/>
                      <w:szCs w:val="20"/>
                      <w:lang w:val="hr-BA"/>
                    </w:rPr>
                    <w:t xml:space="preserve"> </w:t>
                  </w:r>
                  <w:r w:rsidRPr="00B14896">
                    <w:rPr>
                      <w:rFonts w:asciiTheme="minorHAnsi" w:eastAsiaTheme="minorHAnsi" w:hAnsiTheme="minorHAnsi" w:cstheme="minorHAnsi"/>
                      <w:sz w:val="20"/>
                      <w:szCs w:val="20"/>
                      <w:lang w:val="ru-RU"/>
                    </w:rPr>
                    <w:t>на</w:t>
                  </w:r>
                  <w:r w:rsidRPr="00B14896">
                    <w:rPr>
                      <w:rFonts w:asciiTheme="minorHAnsi" w:eastAsiaTheme="minorHAnsi" w:hAnsiTheme="minorHAnsi" w:cstheme="minorHAnsi"/>
                      <w:sz w:val="20"/>
                      <w:szCs w:val="20"/>
                      <w:lang w:val="hr-BA"/>
                    </w:rPr>
                    <w:t xml:space="preserve"> </w:t>
                  </w:r>
                  <w:r w:rsidRPr="00B14896">
                    <w:rPr>
                      <w:rFonts w:asciiTheme="minorHAnsi" w:eastAsiaTheme="minorHAnsi" w:hAnsiTheme="minorHAnsi" w:cstheme="minorHAnsi"/>
                      <w:sz w:val="20"/>
                      <w:szCs w:val="20"/>
                    </w:rPr>
                    <w:t>катастарској парцели 4292/31, КО Бачка Паланка-град</w:t>
                  </w:r>
                  <w:r w:rsidRPr="00B14896">
                    <w:rPr>
                      <w:rFonts w:asciiTheme="minorHAnsi" w:eastAsiaTheme="minorHAnsi" w:hAnsiTheme="minorHAnsi" w:cstheme="minorHAnsi"/>
                      <w:sz w:val="20"/>
                      <w:szCs w:val="20"/>
                      <w:lang w:val="sr-Latn-CS"/>
                    </w:rPr>
                    <w:t>, у улици Индустријска зона 14.</w:t>
                  </w:r>
                </w:p>
                <w:p w:rsidR="00B14896" w:rsidRPr="00B14896" w:rsidRDefault="00B14896" w:rsidP="00E06ED6">
                  <w:pPr>
                    <w:tabs>
                      <w:tab w:val="right" w:pos="9356"/>
                    </w:tabs>
                    <w:ind w:right="60"/>
                    <w:jc w:val="both"/>
                    <w:rPr>
                      <w:rFonts w:asciiTheme="minorHAnsi" w:eastAsiaTheme="minorHAnsi" w:hAnsiTheme="minorHAnsi" w:cstheme="minorHAnsi"/>
                      <w:bCs/>
                      <w:sz w:val="20"/>
                      <w:szCs w:val="20"/>
                      <w:lang w:val="pl-PL"/>
                    </w:rPr>
                  </w:pPr>
                  <w:r w:rsidRPr="00B14896">
                    <w:rPr>
                      <w:rFonts w:asciiTheme="minorHAnsi" w:eastAsiaTheme="minorHAnsi" w:hAnsiTheme="minorHAnsi" w:cstheme="minorHAnsi"/>
                      <w:bCs/>
                      <w:sz w:val="20"/>
                      <w:szCs w:val="20"/>
                      <w:lang w:val="pl-PL"/>
                    </w:rPr>
                    <w:t xml:space="preserve">Фабрички комплекс "ТАРКЕТТ" д.о.о. Бачка Паланка налази се на југоисточној страни насеља Бачка Паланка, Индустријска зона 14, са објектима намењеним за производњу ПВЦ подова, производњу паркета, производњу текстилних подних облога, смештај сировина, смештај готових производа и смештај наменских пратећих активности (котларница, радионице, санитарни чворови, итд). </w:t>
                  </w:r>
                </w:p>
                <w:p w:rsidR="00B14896" w:rsidRPr="00B14896" w:rsidRDefault="00B14896" w:rsidP="00E06ED6">
                  <w:pPr>
                    <w:tabs>
                      <w:tab w:val="right" w:pos="9356"/>
                    </w:tabs>
                    <w:ind w:right="60"/>
                    <w:jc w:val="both"/>
                    <w:rPr>
                      <w:rFonts w:asciiTheme="minorHAnsi" w:eastAsiaTheme="minorHAnsi" w:hAnsiTheme="minorHAnsi" w:cstheme="minorHAnsi"/>
                      <w:sz w:val="20"/>
                      <w:szCs w:val="20"/>
                      <w:lang w:val="sl-SI"/>
                    </w:rPr>
                  </w:pPr>
                  <w:r w:rsidRPr="00B14896">
                    <w:rPr>
                      <w:rFonts w:asciiTheme="minorHAnsi" w:eastAsiaTheme="minorHAnsi" w:hAnsiTheme="minorHAnsi" w:cstheme="minorHAnsi"/>
                      <w:sz w:val="20"/>
                      <w:szCs w:val="20"/>
                      <w:lang w:val="sl-SI"/>
                    </w:rPr>
                    <w:t xml:space="preserve">Спаљивач, који је предмет ове </w:t>
                  </w:r>
                  <w:r w:rsidRPr="00B14896">
                    <w:rPr>
                      <w:rFonts w:asciiTheme="minorHAnsi" w:eastAsiaTheme="minorHAnsi" w:hAnsiTheme="minorHAnsi" w:cstheme="minorHAnsi"/>
                      <w:sz w:val="20"/>
                      <w:szCs w:val="20"/>
                      <w:lang w:val="sr-Cyrl-RS"/>
                    </w:rPr>
                    <w:t>дозволе</w:t>
                  </w:r>
                  <w:r w:rsidRPr="00B14896">
                    <w:rPr>
                      <w:rFonts w:asciiTheme="minorHAnsi" w:eastAsiaTheme="minorHAnsi" w:hAnsiTheme="minorHAnsi" w:cstheme="minorHAnsi"/>
                      <w:sz w:val="20"/>
                      <w:szCs w:val="20"/>
                      <w:lang w:val="sl-SI"/>
                    </w:rPr>
                    <w:t xml:space="preserve">, је постојећи објекат који је смештен у јужном делу котларнице на пиљевину и котларнице на гас, а источно од трансформаторске станице у зеленом појасу комплекса, на катастарској парцели број 4292/31 КО Бачка Паланка - град. </w:t>
                  </w:r>
                </w:p>
                <w:p w:rsidR="00B14896" w:rsidRPr="00B14896" w:rsidRDefault="00B14896" w:rsidP="00E06ED6">
                  <w:pPr>
                    <w:tabs>
                      <w:tab w:val="right" w:pos="9356"/>
                    </w:tabs>
                    <w:ind w:right="60"/>
                    <w:jc w:val="both"/>
                    <w:rPr>
                      <w:rFonts w:asciiTheme="minorHAnsi" w:eastAsiaTheme="minorHAnsi" w:hAnsiTheme="minorHAnsi" w:cstheme="minorHAnsi"/>
                      <w:sz w:val="20"/>
                      <w:szCs w:val="20"/>
                      <w:lang w:val="pl-PL"/>
                    </w:rPr>
                  </w:pPr>
                  <w:r w:rsidRPr="00B14896">
                    <w:rPr>
                      <w:rFonts w:asciiTheme="minorHAnsi" w:eastAsiaTheme="minorHAnsi" w:hAnsiTheme="minorHAnsi" w:cstheme="minorHAnsi"/>
                      <w:sz w:val="20"/>
                      <w:szCs w:val="20"/>
                      <w:lang w:val="pl-PL"/>
                    </w:rPr>
                    <w:t>Најближи стамбени објекти налазе се на удаљености од cca 700 и 850m од места где се налази предметни спаљивач.</w:t>
                  </w:r>
                </w:p>
                <w:p w:rsidR="001520E9" w:rsidRPr="00B14896" w:rsidRDefault="001520E9" w:rsidP="00E06ED6">
                  <w:pPr>
                    <w:ind w:right="60" w:firstLine="10"/>
                    <w:jc w:val="both"/>
                    <w:rPr>
                      <w:rFonts w:asciiTheme="minorHAnsi" w:eastAsia="Arial" w:hAnsiTheme="minorHAnsi" w:cstheme="minorHAnsi"/>
                      <w:b/>
                      <w:sz w:val="20"/>
                      <w:szCs w:val="20"/>
                      <w:lang w:val="sr-Cyrl-RS" w:eastAsia="en-GB"/>
                    </w:rPr>
                  </w:pPr>
                  <w:r w:rsidRPr="00B14896">
                    <w:rPr>
                      <w:rFonts w:asciiTheme="minorHAnsi" w:eastAsia="Arial" w:hAnsiTheme="minorHAnsi" w:cstheme="minorHAnsi"/>
                      <w:b/>
                      <w:sz w:val="20"/>
                      <w:szCs w:val="20"/>
                      <w:lang w:val="sr-Cyrl-RS" w:eastAsia="en-GB"/>
                    </w:rPr>
                    <w:t>Подаци о постројењу за складиштење отпада</w:t>
                  </w:r>
                </w:p>
                <w:p w:rsidR="00B14896" w:rsidRPr="00B14896" w:rsidRDefault="00B14896" w:rsidP="00E06ED6">
                  <w:pPr>
                    <w:tabs>
                      <w:tab w:val="left" w:pos="8265"/>
                      <w:tab w:val="right" w:pos="9356"/>
                    </w:tabs>
                    <w:ind w:right="60"/>
                    <w:jc w:val="both"/>
                    <w:rPr>
                      <w:rFonts w:asciiTheme="minorHAnsi" w:eastAsiaTheme="minorHAnsi" w:hAnsiTheme="minorHAnsi" w:cstheme="minorHAnsi"/>
                      <w:bCs/>
                      <w:sz w:val="20"/>
                      <w:szCs w:val="20"/>
                      <w:lang w:val="sr-Latn-CS"/>
                    </w:rPr>
                  </w:pPr>
                  <w:r w:rsidRPr="00B14896">
                    <w:rPr>
                      <w:rFonts w:asciiTheme="minorHAnsi" w:eastAsiaTheme="minorHAnsi" w:hAnsiTheme="minorHAnsi" w:cstheme="minorHAnsi"/>
                      <w:bCs/>
                      <w:sz w:val="20"/>
                      <w:szCs w:val="20"/>
                      <w:lang w:val="sr-Latn-CS"/>
                    </w:rPr>
                    <w:t>Отпадни кондензат настаје током процеса желирања ПВЦ пасте у каналу. Током процеса под дејством температуре од 180-200</w:t>
                  </w:r>
                  <w:r w:rsidRPr="00B14896">
                    <w:rPr>
                      <w:rFonts w:asciiTheme="minorHAnsi" w:eastAsiaTheme="minorHAnsi" w:hAnsiTheme="minorHAnsi" w:cstheme="minorHAnsi"/>
                      <w:bCs/>
                      <w:sz w:val="20"/>
                      <w:szCs w:val="20"/>
                      <w:vertAlign w:val="superscript"/>
                      <w:lang w:val="sr-Latn-CS"/>
                    </w:rPr>
                    <w:t>о</w:t>
                  </w:r>
                  <w:r w:rsidRPr="00B14896">
                    <w:rPr>
                      <w:rFonts w:asciiTheme="minorHAnsi" w:eastAsiaTheme="minorHAnsi" w:hAnsiTheme="minorHAnsi" w:cstheme="minorHAnsi"/>
                      <w:bCs/>
                      <w:sz w:val="20"/>
                      <w:szCs w:val="20"/>
                      <w:lang w:val="sr-Latn-CS"/>
                    </w:rPr>
                    <w:t xml:space="preserve">C долази до испаравања течних компонената из ПВЦ пасте. То су углавном омекшивачи/пластификатори који се умешавају са ПВЦ прахом. Испарења се крећу ка спаљивачу отпадних гасова, док се један део под утицајем хладних тела (ваљака за хлађење) кондензује. На овај начин настаје отпадни кондензат. Он се сакупља дуж целе линије на неколико места где се генерише, у посуде - IBC контејнере, одакле се преноси на складиште. Реч је о количини кондензата која је опредељена за спаљивање. Са складишта се допрема у постројење за спаљивање у количини која је потребна (по 1 </w:t>
                  </w:r>
                  <w:r w:rsidRPr="00B14896">
                    <w:rPr>
                      <w:rFonts w:asciiTheme="minorHAnsi" w:eastAsiaTheme="minorHAnsi" w:hAnsiTheme="minorHAnsi" w:cstheme="minorHAnsi"/>
                      <w:bCs/>
                      <w:sz w:val="20"/>
                      <w:szCs w:val="20"/>
                      <w:lang w:val="sr-Latn-RS"/>
                    </w:rPr>
                    <w:t>IBC</w:t>
                  </w:r>
                  <w:r w:rsidRPr="00B14896">
                    <w:rPr>
                      <w:rFonts w:asciiTheme="minorHAnsi" w:eastAsiaTheme="minorHAnsi" w:hAnsiTheme="minorHAnsi" w:cstheme="minorHAnsi"/>
                      <w:bCs/>
                      <w:sz w:val="20"/>
                      <w:szCs w:val="20"/>
                      <w:lang w:val="sr-Latn-CS"/>
                    </w:rPr>
                    <w:t xml:space="preserve"> контејнер).</w:t>
                  </w:r>
                </w:p>
                <w:p w:rsidR="00B14896" w:rsidRPr="00B14896" w:rsidRDefault="00B14896" w:rsidP="00E06ED6">
                  <w:pPr>
                    <w:tabs>
                      <w:tab w:val="left" w:pos="8265"/>
                      <w:tab w:val="right" w:pos="9356"/>
                    </w:tabs>
                    <w:ind w:right="60"/>
                    <w:jc w:val="both"/>
                    <w:rPr>
                      <w:rFonts w:asciiTheme="minorHAnsi" w:eastAsiaTheme="minorHAnsi" w:hAnsiTheme="minorHAnsi" w:cstheme="minorHAnsi"/>
                      <w:bCs/>
                      <w:sz w:val="20"/>
                      <w:szCs w:val="20"/>
                      <w:lang w:val="sr-Latn-CS"/>
                    </w:rPr>
                  </w:pPr>
                  <w:r w:rsidRPr="00B14896">
                    <w:rPr>
                      <w:rFonts w:asciiTheme="minorHAnsi" w:eastAsiaTheme="minorHAnsi" w:hAnsiTheme="minorHAnsi" w:cstheme="minorHAnsi"/>
                      <w:bCs/>
                      <w:sz w:val="20"/>
                      <w:szCs w:val="20"/>
                      <w:lang w:val="sr-Latn-CS"/>
                    </w:rPr>
                    <w:t>На месечном нивоу, планирано је спаљивање ccа 1-3 m</w:t>
                  </w:r>
                  <w:r w:rsidRPr="00B14896">
                    <w:rPr>
                      <w:rFonts w:asciiTheme="minorHAnsi" w:eastAsiaTheme="minorHAnsi" w:hAnsiTheme="minorHAnsi" w:cstheme="minorHAnsi"/>
                      <w:bCs/>
                      <w:sz w:val="20"/>
                      <w:szCs w:val="20"/>
                      <w:vertAlign w:val="superscript"/>
                      <w:lang w:val="sr-Latn-CS"/>
                    </w:rPr>
                    <w:t>3</w:t>
                  </w:r>
                  <w:r w:rsidRPr="00B14896">
                    <w:rPr>
                      <w:rFonts w:asciiTheme="minorHAnsi" w:eastAsiaTheme="minorHAnsi" w:hAnsiTheme="minorHAnsi" w:cstheme="minorHAnsi"/>
                      <w:bCs/>
                      <w:sz w:val="20"/>
                      <w:szCs w:val="20"/>
                      <w:lang w:val="sr-Latn-CS"/>
                    </w:rPr>
                    <w:t xml:space="preserve"> кондензата. </w:t>
                  </w:r>
                </w:p>
                <w:p w:rsidR="00B14896" w:rsidRPr="00B14896" w:rsidRDefault="00B14896" w:rsidP="00E06ED6">
                  <w:pPr>
                    <w:tabs>
                      <w:tab w:val="left" w:pos="8265"/>
                      <w:tab w:val="right" w:pos="9356"/>
                    </w:tabs>
                    <w:ind w:right="60"/>
                    <w:jc w:val="both"/>
                    <w:rPr>
                      <w:rFonts w:asciiTheme="minorHAnsi" w:eastAsiaTheme="minorHAnsi" w:hAnsiTheme="minorHAnsi" w:cstheme="minorHAnsi"/>
                      <w:bCs/>
                      <w:sz w:val="20"/>
                      <w:szCs w:val="20"/>
                      <w:lang w:val="sr-Latn-CS"/>
                    </w:rPr>
                  </w:pPr>
                  <w:r w:rsidRPr="00B14896">
                    <w:rPr>
                      <w:rFonts w:asciiTheme="minorHAnsi" w:eastAsiaTheme="minorHAnsi" w:hAnsiTheme="minorHAnsi" w:cstheme="minorHAnsi"/>
                      <w:bCs/>
                      <w:sz w:val="20"/>
                      <w:szCs w:val="20"/>
                      <w:lang w:val="sr-Latn-CS"/>
                    </w:rPr>
                    <w:t xml:space="preserve">Отпадни кондензат који из разлога недовољног  капацитета постројења није опредељен за спаљивање се такође сакупља у IBC контејнерима. </w:t>
                  </w:r>
                  <w:r w:rsidRPr="00B14896">
                    <w:rPr>
                      <w:rFonts w:asciiTheme="minorHAnsi" w:eastAsia="Calibri" w:hAnsiTheme="minorHAnsi" w:cstheme="minorHAnsi"/>
                      <w:sz w:val="20"/>
                      <w:szCs w:val="20"/>
                      <w:lang w:val="sr-Latn-CS"/>
                    </w:rPr>
                    <w:t xml:space="preserve">Они се средствима унутрашњег интерног транспорта, од места њиховог генерисања–спаљивача, преносе до наменски грађене трансфер станице за складиштење опасног отпада. </w:t>
                  </w:r>
                  <w:r w:rsidRPr="00B14896">
                    <w:rPr>
                      <w:rFonts w:asciiTheme="minorHAnsi" w:eastAsiaTheme="minorHAnsi" w:hAnsiTheme="minorHAnsi" w:cstheme="minorHAnsi"/>
                      <w:bCs/>
                      <w:sz w:val="20"/>
                      <w:szCs w:val="20"/>
                      <w:lang w:val="sr-Latn-CS"/>
                    </w:rPr>
                    <w:t xml:space="preserve"> У складишту, IBC </w:t>
                  </w:r>
                  <w:r w:rsidRPr="00B14896">
                    <w:rPr>
                      <w:rFonts w:asciiTheme="minorHAnsi" w:eastAsiaTheme="minorHAnsi" w:hAnsiTheme="minorHAnsi" w:cstheme="minorHAnsi"/>
                      <w:bCs/>
                      <w:sz w:val="20"/>
                      <w:szCs w:val="20"/>
                      <w:lang w:val="sr-Cyrl-RS"/>
                    </w:rPr>
                    <w:t>к</w:t>
                  </w:r>
                  <w:r w:rsidRPr="00B14896">
                    <w:rPr>
                      <w:rFonts w:asciiTheme="minorHAnsi" w:eastAsiaTheme="minorHAnsi" w:hAnsiTheme="minorHAnsi" w:cstheme="minorHAnsi"/>
                      <w:bCs/>
                      <w:sz w:val="20"/>
                      <w:szCs w:val="20"/>
                      <w:lang w:val="sr-Latn-CS"/>
                    </w:rPr>
                    <w:t xml:space="preserve">онтејнери се привремено одлажу до момента њихове предаје трећем лицу на третман, односно коначно збрињавање са којим компанија има уговор. </w:t>
                  </w:r>
                </w:p>
                <w:p w:rsidR="00B14896" w:rsidRPr="00B14896" w:rsidRDefault="00B14896" w:rsidP="00E06ED6">
                  <w:pPr>
                    <w:tabs>
                      <w:tab w:val="left" w:pos="8265"/>
                      <w:tab w:val="right" w:pos="9356"/>
                    </w:tabs>
                    <w:ind w:right="60"/>
                    <w:jc w:val="both"/>
                    <w:rPr>
                      <w:rFonts w:asciiTheme="minorHAnsi" w:eastAsia="Calibri" w:hAnsiTheme="minorHAnsi" w:cstheme="minorHAnsi"/>
                      <w:sz w:val="20"/>
                      <w:szCs w:val="20"/>
                      <w:lang w:val="ru-RU"/>
                    </w:rPr>
                  </w:pPr>
                  <w:r w:rsidRPr="00B14896">
                    <w:rPr>
                      <w:rFonts w:asciiTheme="minorHAnsi" w:eastAsia="Calibri" w:hAnsiTheme="minorHAnsi" w:cstheme="minorHAnsi"/>
                      <w:sz w:val="20"/>
                      <w:szCs w:val="20"/>
                      <w:lang w:val="sr-Latn-CS"/>
                    </w:rPr>
                    <w:lastRenderedPageBreak/>
                    <w:t xml:space="preserve">Трансфер станица је адекватно означена, обезбеђена жичаном оградом и закључана. Обезбеђена је преносним апаратима за почетно гашење пожара. Простор је избетониран и поседује бетонске каналице за прикупљање евентуално расутих течности и атмосферских вода. </w:t>
                  </w:r>
                  <w:r w:rsidRPr="00B14896">
                    <w:rPr>
                      <w:rFonts w:asciiTheme="minorHAnsi" w:eastAsia="Calibri" w:hAnsiTheme="minorHAnsi" w:cstheme="minorHAnsi"/>
                      <w:sz w:val="20"/>
                      <w:szCs w:val="20"/>
                      <w:lang w:val="ru-RU"/>
                    </w:rPr>
                    <w:t>Сакупљене евентуално расуте течности и атмосферске воде се одводе на сепаратор масти и уља. За повремено чишћење сепаратора,</w:t>
                  </w:r>
                  <w:r w:rsidRPr="00B14896">
                    <w:rPr>
                      <w:rFonts w:asciiTheme="minorHAnsi" w:eastAsia="Calibri" w:hAnsiTheme="minorHAnsi" w:cstheme="minorHAnsi"/>
                      <w:sz w:val="20"/>
                      <w:szCs w:val="20"/>
                      <w:lang w:val="sr-Latn-CS"/>
                    </w:rPr>
                    <w:t xml:space="preserve"> оператер</w:t>
                  </w:r>
                  <w:r w:rsidRPr="00B14896">
                    <w:rPr>
                      <w:rFonts w:asciiTheme="minorHAnsi" w:eastAsia="Calibri" w:hAnsiTheme="minorHAnsi" w:cstheme="minorHAnsi"/>
                      <w:sz w:val="20"/>
                      <w:szCs w:val="20"/>
                      <w:lang w:val="ru-RU"/>
                    </w:rPr>
                    <w:t xml:space="preserve"> има склопљен Уговор са овлашћеним предузећем.</w:t>
                  </w:r>
                </w:p>
                <w:p w:rsidR="00B14896" w:rsidRPr="00B14896" w:rsidRDefault="00B14896" w:rsidP="00B14896">
                  <w:pPr>
                    <w:tabs>
                      <w:tab w:val="right" w:pos="9356"/>
                    </w:tabs>
                    <w:spacing w:after="160" w:line="259" w:lineRule="auto"/>
                    <w:ind w:right="-511"/>
                    <w:rPr>
                      <w:rFonts w:asciiTheme="minorHAnsi" w:eastAsiaTheme="minorHAnsi" w:hAnsiTheme="minorHAnsi" w:cstheme="minorBidi"/>
                      <w:sz w:val="20"/>
                      <w:szCs w:val="20"/>
                      <w:lang w:val="sr-Latn-RS"/>
                    </w:rPr>
                  </w:pPr>
                  <w:r w:rsidRPr="00B14896">
                    <w:rPr>
                      <w:rFonts w:asciiTheme="minorHAnsi" w:eastAsia="Calibri" w:hAnsiTheme="minorHAnsi" w:cstheme="minorHAnsi"/>
                      <w:sz w:val="20"/>
                      <w:szCs w:val="20"/>
                      <w:lang w:val="sr-Latn-RS"/>
                    </w:rPr>
                    <w:t>Капацитет складишта на годиш</w:t>
                  </w:r>
                  <w:r w:rsidRPr="00B14896">
                    <w:rPr>
                      <w:rFonts w:asciiTheme="minorHAnsi" w:eastAsia="Calibri" w:hAnsiTheme="minorHAnsi" w:cstheme="minorHAnsi"/>
                      <w:sz w:val="20"/>
                      <w:szCs w:val="20"/>
                      <w:lang w:val="sr-Cyrl-RS"/>
                    </w:rPr>
                    <w:t>њ</w:t>
                  </w:r>
                  <w:r w:rsidRPr="00B14896">
                    <w:rPr>
                      <w:rFonts w:asciiTheme="minorHAnsi" w:eastAsia="Calibri" w:hAnsiTheme="minorHAnsi" w:cstheme="minorHAnsi"/>
                      <w:sz w:val="20"/>
                      <w:szCs w:val="20"/>
                      <w:lang w:val="sr-Latn-RS"/>
                    </w:rPr>
                    <w:t>ем нивоу износи 60 тона а запремина складишта</w:t>
                  </w:r>
                  <w:r w:rsidRPr="00B14896">
                    <w:rPr>
                      <w:rFonts w:asciiTheme="minorHAnsi" w:eastAsia="Calibri" w:hAnsiTheme="minorHAnsi" w:cstheme="minorHAnsi"/>
                      <w:sz w:val="20"/>
                      <w:szCs w:val="20"/>
                      <w:lang w:val="sr-Cyrl-RS"/>
                    </w:rPr>
                    <w:t xml:space="preserve"> </w:t>
                  </w:r>
                  <w:r w:rsidRPr="00B14896">
                    <w:rPr>
                      <w:rFonts w:asciiTheme="minorHAnsi" w:eastAsia="Calibri" w:hAnsiTheme="minorHAnsi" w:cstheme="minorHAnsi"/>
                      <w:sz w:val="20"/>
                      <w:szCs w:val="20"/>
                      <w:lang w:val="sr-Latn-RS"/>
                    </w:rPr>
                    <w:t>je 80m</w:t>
                  </w:r>
                  <w:r w:rsidRPr="00B14896">
                    <w:rPr>
                      <w:rFonts w:asciiTheme="minorHAnsi" w:eastAsia="Calibri" w:hAnsiTheme="minorHAnsi" w:cstheme="minorHAnsi"/>
                      <w:sz w:val="20"/>
                      <w:szCs w:val="20"/>
                      <w:vertAlign w:val="superscript"/>
                      <w:lang w:val="sr-Latn-RS"/>
                    </w:rPr>
                    <w:t>3</w:t>
                  </w:r>
                  <w:r w:rsidRPr="00B14896">
                    <w:rPr>
                      <w:rFonts w:asciiTheme="minorHAnsi" w:eastAsia="Calibri" w:hAnsiTheme="minorHAnsi" w:cstheme="minorHAnsi"/>
                      <w:sz w:val="20"/>
                      <w:szCs w:val="20"/>
                      <w:lang w:val="sr-Latn-RS"/>
                    </w:rPr>
                    <w:t>.</w:t>
                  </w:r>
                </w:p>
                <w:p w:rsidR="001520E9" w:rsidRPr="00B14896" w:rsidRDefault="001520E9" w:rsidP="008726F0">
                  <w:pPr>
                    <w:pStyle w:val="NoSpacing"/>
                    <w:ind w:firstLine="10"/>
                    <w:jc w:val="both"/>
                    <w:rPr>
                      <w:rFonts w:asciiTheme="minorHAnsi" w:hAnsiTheme="minorHAnsi" w:cstheme="minorHAnsi"/>
                      <w:sz w:val="20"/>
                      <w:szCs w:val="20"/>
                      <w:lang w:val="sr-Latn-RS"/>
                    </w:rPr>
                  </w:pPr>
                  <w:r w:rsidRPr="00B14896">
                    <w:rPr>
                      <w:rFonts w:asciiTheme="minorHAnsi" w:hAnsiTheme="minorHAnsi" w:cstheme="minorHAnsi"/>
                      <w:sz w:val="20"/>
                      <w:szCs w:val="20"/>
                      <w:lang w:val="sr-Latn-RS"/>
                    </w:rPr>
                    <w:t xml:space="preserve">Опрему за складиштење чине:  </w:t>
                  </w:r>
                </w:p>
                <w:p w:rsidR="00B14896" w:rsidRPr="00B14896" w:rsidRDefault="00B14896" w:rsidP="00B14896">
                  <w:pPr>
                    <w:ind w:right="-511" w:firstLine="284"/>
                    <w:jc w:val="both"/>
                    <w:rPr>
                      <w:rFonts w:asciiTheme="minorHAnsi" w:eastAsiaTheme="minorHAnsi" w:hAnsiTheme="minorHAnsi" w:cstheme="minorBidi"/>
                      <w:sz w:val="20"/>
                      <w:szCs w:val="20"/>
                      <w:lang w:val="sr-Latn-RS"/>
                    </w:rPr>
                  </w:pPr>
                  <w:r w:rsidRPr="00B14896">
                    <w:rPr>
                      <w:rFonts w:asciiTheme="minorHAnsi" w:eastAsiaTheme="minorHAnsi" w:hAnsiTheme="minorHAnsi" w:cstheme="minorBidi"/>
                      <w:sz w:val="20"/>
                      <w:szCs w:val="20"/>
                      <w:lang w:val="sr-Cyrl-RS"/>
                    </w:rPr>
                    <w:t xml:space="preserve">-        </w:t>
                  </w:r>
                  <w:r w:rsidRPr="00B14896">
                    <w:rPr>
                      <w:rFonts w:asciiTheme="minorHAnsi" w:eastAsiaTheme="minorHAnsi" w:hAnsiTheme="minorHAnsi" w:cstheme="minorBidi"/>
                      <w:sz w:val="20"/>
                      <w:szCs w:val="20"/>
                      <w:lang w:val="sr-Latn-RS"/>
                    </w:rPr>
                    <w:t>IBC контејнери,</w:t>
                  </w:r>
                </w:p>
                <w:p w:rsidR="00B14896" w:rsidRPr="00B14896" w:rsidRDefault="00B14896" w:rsidP="00B14896">
                  <w:pPr>
                    <w:ind w:right="-511" w:firstLine="284"/>
                    <w:jc w:val="both"/>
                    <w:rPr>
                      <w:rFonts w:asciiTheme="minorHAnsi" w:eastAsiaTheme="minorHAnsi" w:hAnsiTheme="minorHAnsi" w:cstheme="minorBidi"/>
                      <w:sz w:val="20"/>
                      <w:szCs w:val="20"/>
                      <w:lang w:val="sr-Latn-RS"/>
                    </w:rPr>
                  </w:pPr>
                  <w:r w:rsidRPr="00B14896">
                    <w:rPr>
                      <w:rFonts w:asciiTheme="minorHAnsi" w:eastAsiaTheme="minorHAnsi" w:hAnsiTheme="minorHAnsi" w:cstheme="minorBidi"/>
                      <w:sz w:val="20"/>
                      <w:szCs w:val="20"/>
                      <w:lang w:val="sr-Latn-RS"/>
                    </w:rPr>
                    <w:t>-</w:t>
                  </w:r>
                  <w:r w:rsidRPr="00B14896">
                    <w:rPr>
                      <w:rFonts w:asciiTheme="minorHAnsi" w:eastAsiaTheme="minorHAnsi" w:hAnsiTheme="minorHAnsi" w:cstheme="minorBidi"/>
                      <w:sz w:val="20"/>
                      <w:szCs w:val="20"/>
                      <w:lang w:val="sr-Latn-RS"/>
                    </w:rPr>
                    <w:tab/>
                    <w:t>Дрвене палете.</w:t>
                  </w:r>
                </w:p>
                <w:p w:rsidR="00B14896" w:rsidRPr="00B14896" w:rsidRDefault="00B14896" w:rsidP="00B14896">
                  <w:pPr>
                    <w:ind w:right="-511" w:firstLine="284"/>
                    <w:jc w:val="both"/>
                    <w:rPr>
                      <w:rFonts w:asciiTheme="minorHAnsi" w:eastAsiaTheme="minorHAnsi" w:hAnsiTheme="minorHAnsi" w:cstheme="minorBidi"/>
                      <w:sz w:val="20"/>
                      <w:szCs w:val="20"/>
                      <w:lang w:val="sr-Latn-RS"/>
                    </w:rPr>
                  </w:pPr>
                  <w:r w:rsidRPr="00B14896">
                    <w:rPr>
                      <w:rFonts w:asciiTheme="minorHAnsi" w:eastAsiaTheme="minorHAnsi" w:hAnsiTheme="minorHAnsi" w:cstheme="minorBidi"/>
                      <w:sz w:val="20"/>
                      <w:szCs w:val="20"/>
                      <w:lang w:val="sr-Latn-RS"/>
                    </w:rPr>
                    <w:t>-</w:t>
                  </w:r>
                  <w:r w:rsidRPr="00B14896">
                    <w:rPr>
                      <w:rFonts w:asciiTheme="minorHAnsi" w:eastAsiaTheme="minorHAnsi" w:hAnsiTheme="minorHAnsi" w:cstheme="minorBidi"/>
                      <w:sz w:val="20"/>
                      <w:szCs w:val="20"/>
                      <w:lang w:val="sr-Latn-RS"/>
                    </w:rPr>
                    <w:tab/>
                    <w:t>Прибор за чишћење и одржавање складишта (лопата, метла, крпе за брисање).</w:t>
                  </w:r>
                </w:p>
                <w:p w:rsidR="001520E9" w:rsidRPr="00B14896" w:rsidRDefault="001520E9" w:rsidP="008726F0">
                  <w:pPr>
                    <w:ind w:left="10" w:right="233"/>
                    <w:jc w:val="both"/>
                    <w:rPr>
                      <w:rFonts w:asciiTheme="minorHAnsi" w:eastAsia="Arial" w:hAnsiTheme="minorHAnsi" w:cstheme="minorHAnsi"/>
                      <w:b/>
                      <w:sz w:val="20"/>
                      <w:szCs w:val="20"/>
                      <w:lang w:val="sr-Cyrl-RS" w:eastAsia="en-GB"/>
                    </w:rPr>
                  </w:pPr>
                  <w:r w:rsidRPr="00B14896">
                    <w:rPr>
                      <w:rFonts w:asciiTheme="minorHAnsi" w:eastAsia="Arial" w:hAnsiTheme="minorHAnsi" w:cstheme="minorHAnsi"/>
                      <w:b/>
                      <w:sz w:val="20"/>
                      <w:szCs w:val="20"/>
                      <w:lang w:val="sr-Cyrl-RS" w:eastAsia="en-GB"/>
                    </w:rPr>
                    <w:t>Подаци о постројењу за третман и поновно искоришћење неопасног металног отпада</w:t>
                  </w:r>
                </w:p>
                <w:p w:rsidR="00B14896" w:rsidRPr="00B14896" w:rsidRDefault="00B14896" w:rsidP="00E06ED6">
                  <w:pPr>
                    <w:pStyle w:val="BodyTextIndent3"/>
                    <w:ind w:left="10" w:right="233"/>
                    <w:jc w:val="both"/>
                    <w:rPr>
                      <w:rFonts w:asciiTheme="minorHAnsi" w:hAnsiTheme="minorHAnsi"/>
                      <w:sz w:val="20"/>
                      <w:szCs w:val="20"/>
                      <w:lang w:val="sr-Latn-RS"/>
                    </w:rPr>
                  </w:pPr>
                  <w:r w:rsidRPr="00B14896">
                    <w:rPr>
                      <w:rFonts w:asciiTheme="minorHAnsi" w:hAnsiTheme="minorHAnsi"/>
                      <w:sz w:val="20"/>
                      <w:szCs w:val="20"/>
                      <w:lang w:val="sr-Cyrl-RS"/>
                    </w:rPr>
                    <w:t>Делатност термичког третмана отпадног кондензата, операцијом</w:t>
                  </w:r>
                  <w:r w:rsidRPr="00B14896">
                    <w:rPr>
                      <w:rFonts w:asciiTheme="minorHAnsi" w:hAnsiTheme="minorHAnsi"/>
                      <w:sz w:val="20"/>
                      <w:szCs w:val="20"/>
                      <w:lang w:val="sr-Latn-RS"/>
                    </w:rPr>
                    <w:t xml:space="preserve"> D10</w:t>
                  </w:r>
                  <w:r w:rsidRPr="00B14896">
                    <w:rPr>
                      <w:rFonts w:asciiTheme="minorHAnsi" w:hAnsiTheme="minorHAnsi"/>
                      <w:sz w:val="20"/>
                      <w:szCs w:val="20"/>
                      <w:lang w:val="sr-Cyrl-RS"/>
                    </w:rPr>
                    <w:t xml:space="preserve"> – Спаљивање (инсенерација) на тлу, </w:t>
                  </w:r>
                  <w:r w:rsidRPr="00B14896">
                    <w:rPr>
                      <w:rFonts w:asciiTheme="minorHAnsi" w:hAnsiTheme="minorHAnsi"/>
                      <w:bCs/>
                      <w:sz w:val="20"/>
                      <w:szCs w:val="20"/>
                      <w:lang w:val="sr-Latn-CS"/>
                    </w:rPr>
                    <w:t xml:space="preserve">се обављаја унутар фабричког комплекса у постојећим објектима на парцели – спаљивач и складиште </w:t>
                  </w:r>
                  <w:r w:rsidRPr="00B14896">
                    <w:rPr>
                      <w:rFonts w:asciiTheme="minorHAnsi" w:hAnsiTheme="minorHAnsi"/>
                      <w:bCs/>
                      <w:sz w:val="20"/>
                      <w:szCs w:val="20"/>
                      <w:lang w:val="sr-Cyrl-RS"/>
                    </w:rPr>
                    <w:t xml:space="preserve"> операцијом </w:t>
                  </w:r>
                  <w:r w:rsidRPr="00B14896">
                    <w:rPr>
                      <w:rFonts w:asciiTheme="minorHAnsi" w:hAnsiTheme="minorHAnsi"/>
                      <w:sz w:val="20"/>
                      <w:szCs w:val="20"/>
                      <w:lang w:val="sr-Latn-RS"/>
                    </w:rPr>
                    <w:t>D15</w:t>
                  </w:r>
                  <w:r w:rsidRPr="00B14896">
                    <w:rPr>
                      <w:rFonts w:asciiTheme="minorHAnsi" w:hAnsiTheme="minorHAnsi"/>
                      <w:sz w:val="20"/>
                      <w:szCs w:val="20"/>
                      <w:lang w:val="sr-Cyrl-RS"/>
                    </w:rPr>
                    <w:t xml:space="preserve"> - Складиштење отпада које претходи било којој операцији од </w:t>
                  </w:r>
                  <w:r w:rsidRPr="00B14896">
                    <w:rPr>
                      <w:rFonts w:asciiTheme="minorHAnsi" w:hAnsiTheme="minorHAnsi"/>
                      <w:sz w:val="20"/>
                      <w:szCs w:val="20"/>
                      <w:lang w:val="sr-Latn-RS"/>
                    </w:rPr>
                    <w:t>D1</w:t>
                  </w:r>
                  <w:r w:rsidRPr="00B14896">
                    <w:rPr>
                      <w:rFonts w:asciiTheme="minorHAnsi" w:hAnsiTheme="minorHAnsi"/>
                      <w:sz w:val="20"/>
                      <w:szCs w:val="20"/>
                      <w:lang w:val="sr-Cyrl-RS"/>
                    </w:rPr>
                    <w:t xml:space="preserve"> до </w:t>
                  </w:r>
                  <w:r w:rsidRPr="00B14896">
                    <w:rPr>
                      <w:rFonts w:asciiTheme="minorHAnsi" w:hAnsiTheme="minorHAnsi"/>
                      <w:sz w:val="20"/>
                      <w:szCs w:val="20"/>
                      <w:lang w:val="sr-Latn-RS"/>
                    </w:rPr>
                    <w:t>D1</w:t>
                  </w:r>
                  <w:r w:rsidRPr="00B14896">
                    <w:rPr>
                      <w:rFonts w:asciiTheme="minorHAnsi" w:hAnsiTheme="minorHAnsi"/>
                      <w:sz w:val="20"/>
                      <w:szCs w:val="20"/>
                      <w:lang w:val="sr-Cyrl-RS"/>
                    </w:rPr>
                    <w:t xml:space="preserve">4 (изузимајући привремено складиштење током сакупљања, на месту где је произведен отпад), </w:t>
                  </w:r>
                  <w:r w:rsidRPr="00B14896">
                    <w:rPr>
                      <w:rFonts w:asciiTheme="minorHAnsi" w:hAnsiTheme="minorHAnsi"/>
                      <w:bCs/>
                      <w:sz w:val="20"/>
                      <w:szCs w:val="20"/>
                      <w:lang w:val="sr-Latn-CS"/>
                    </w:rPr>
                    <w:t xml:space="preserve">који се налазе унутар фабричког комплекса </w:t>
                  </w:r>
                  <w:r w:rsidRPr="00B14896">
                    <w:rPr>
                      <w:rFonts w:asciiTheme="minorHAnsi" w:hAnsiTheme="minorHAnsi"/>
                      <w:sz w:val="20"/>
                      <w:szCs w:val="20"/>
                    </w:rPr>
                    <w:t>''TARKETT''</w:t>
                  </w:r>
                  <w:r w:rsidRPr="00B14896">
                    <w:rPr>
                      <w:rFonts w:asciiTheme="minorHAnsi" w:hAnsiTheme="minorHAnsi"/>
                      <w:bCs/>
                      <w:sz w:val="20"/>
                      <w:szCs w:val="20"/>
                      <w:lang w:val="sr-Latn-CS"/>
                    </w:rPr>
                    <w:t xml:space="preserve"> ДОО, а припада пословној јединици RHE, погон за производњу ПВЦ подних облога.</w:t>
                  </w:r>
                  <w:r w:rsidRPr="00B14896">
                    <w:rPr>
                      <w:rFonts w:asciiTheme="minorHAnsi" w:hAnsiTheme="minorHAnsi"/>
                      <w:bCs/>
                      <w:sz w:val="20"/>
                      <w:szCs w:val="20"/>
                      <w:lang w:val="sr-Cyrl-RS"/>
                    </w:rPr>
                    <w:t xml:space="preserve"> </w:t>
                  </w:r>
                  <w:r w:rsidRPr="00B14896">
                    <w:rPr>
                      <w:rFonts w:asciiTheme="minorHAnsi" w:hAnsiTheme="minorHAnsi"/>
                      <w:bCs/>
                      <w:sz w:val="20"/>
                      <w:szCs w:val="20"/>
                      <w:lang w:val="sr-Latn-CS"/>
                    </w:rPr>
                    <w:t>Пре испуштања у атмосферу, отпадни гасови потпуно сагоре у спаљивачу. Постојеће постројење за спаљивање отпадних материја је смештено на отвореном простору и захвата простор површине сса 19,0 x 10,0m, непосредно поред производног погона.</w:t>
                  </w:r>
                </w:p>
                <w:p w:rsidR="00B14896" w:rsidRPr="00B14896" w:rsidRDefault="00B14896" w:rsidP="00B14896">
                  <w:pPr>
                    <w:pStyle w:val="BodyTextIndent3"/>
                    <w:ind w:left="10" w:right="233"/>
                    <w:rPr>
                      <w:rFonts w:asciiTheme="minorHAnsi" w:hAnsiTheme="minorHAnsi"/>
                      <w:sz w:val="20"/>
                      <w:szCs w:val="20"/>
                      <w:lang w:val="sr-Cyrl-RS"/>
                    </w:rPr>
                  </w:pPr>
                  <w:r w:rsidRPr="00B14896">
                    <w:rPr>
                      <w:rFonts w:asciiTheme="minorHAnsi" w:hAnsiTheme="minorHAnsi"/>
                      <w:sz w:val="20"/>
                      <w:szCs w:val="20"/>
                      <w:lang w:val="sr-Cyrl-RS"/>
                    </w:rPr>
                    <w:t xml:space="preserve">обавља се у делу хале намењеном за процес термичког третмана </w:t>
                  </w:r>
                  <w:r w:rsidRPr="00B14896">
                    <w:rPr>
                      <w:rFonts w:asciiTheme="minorHAnsi" w:hAnsiTheme="minorHAnsi"/>
                      <w:sz w:val="20"/>
                      <w:szCs w:val="20"/>
                      <w:lang w:val="sr-Latn-RS"/>
                    </w:rPr>
                    <w:t>(инсенерације)</w:t>
                  </w:r>
                  <w:r w:rsidRPr="00B14896">
                    <w:rPr>
                      <w:rFonts w:asciiTheme="minorHAnsi" w:hAnsiTheme="minorHAnsi"/>
                      <w:sz w:val="20"/>
                      <w:szCs w:val="20"/>
                      <w:lang w:val="sr-Cyrl-RS"/>
                    </w:rPr>
                    <w:t xml:space="preserve"> у коме се налази постројење/</w:t>
                  </w:r>
                  <w:r w:rsidRPr="00B14896">
                    <w:rPr>
                      <w:rFonts w:asciiTheme="minorHAnsi" w:hAnsiTheme="minorHAnsi"/>
                      <w:sz w:val="20"/>
                      <w:szCs w:val="20"/>
                      <w:lang w:val="sr-Latn-RS"/>
                    </w:rPr>
                    <w:t>уређај за спаљивање отпада INCINER8</w:t>
                  </w:r>
                  <w:r w:rsidRPr="00B14896">
                    <w:rPr>
                      <w:rFonts w:asciiTheme="minorHAnsi" w:hAnsiTheme="minorHAnsi"/>
                      <w:sz w:val="20"/>
                      <w:szCs w:val="20"/>
                      <w:lang w:val="sr-Cyrl-RS"/>
                    </w:rPr>
                    <w:t xml:space="preserve">, Модел </w:t>
                  </w:r>
                  <w:r w:rsidRPr="00B14896">
                    <w:rPr>
                      <w:rFonts w:asciiTheme="minorHAnsi" w:hAnsiTheme="minorHAnsi"/>
                      <w:sz w:val="20"/>
                      <w:szCs w:val="20"/>
                      <w:lang w:val="sr-Latn-RS"/>
                    </w:rPr>
                    <w:t>I8-250G</w:t>
                  </w:r>
                  <w:r w:rsidRPr="00B14896">
                    <w:rPr>
                      <w:rFonts w:asciiTheme="minorHAnsi" w:hAnsiTheme="minorHAnsi"/>
                      <w:sz w:val="20"/>
                      <w:szCs w:val="20"/>
                      <w:lang w:val="sr-Cyrl-RS"/>
                    </w:rPr>
                    <w:t xml:space="preserve">. </w:t>
                  </w:r>
                </w:p>
                <w:p w:rsidR="00B14896" w:rsidRPr="00B14896" w:rsidRDefault="00B14896" w:rsidP="00B14896">
                  <w:pPr>
                    <w:numPr>
                      <w:ilvl w:val="0"/>
                      <w:numId w:val="5"/>
                    </w:numPr>
                    <w:rPr>
                      <w:rFonts w:asciiTheme="minorHAnsi" w:hAnsiTheme="minorHAnsi" w:cs="Arial"/>
                      <w:bCs/>
                      <w:sz w:val="20"/>
                      <w:szCs w:val="20"/>
                      <w:lang w:val="sr-Latn-CS"/>
                    </w:rPr>
                  </w:pPr>
                  <w:r w:rsidRPr="00B14896">
                    <w:rPr>
                      <w:rFonts w:asciiTheme="minorHAnsi" w:hAnsiTheme="minorHAnsi" w:cs="Arial"/>
                      <w:bCs/>
                      <w:sz w:val="20"/>
                      <w:szCs w:val="20"/>
                      <w:lang w:val="sr-Latn-CS"/>
                    </w:rPr>
                    <w:t>Пројектовани максимални капацитет постројења за спаљивање је</w:t>
                  </w:r>
                  <w:r w:rsidRPr="00B14896">
                    <w:rPr>
                      <w:rFonts w:asciiTheme="minorHAnsi" w:hAnsiTheme="minorHAnsi" w:cs="Arial"/>
                      <w:sz w:val="20"/>
                      <w:szCs w:val="20"/>
                      <w:lang w:val="sr-Latn-RS"/>
                    </w:rPr>
                    <w:t xml:space="preserve"> </w:t>
                  </w:r>
                  <w:r w:rsidRPr="00B14896">
                    <w:rPr>
                      <w:rFonts w:asciiTheme="minorHAnsi" w:hAnsiTheme="minorHAnsi" w:cs="Arial"/>
                      <w:bCs/>
                      <w:sz w:val="20"/>
                      <w:szCs w:val="20"/>
                      <w:lang w:val="sr-Latn-CS"/>
                    </w:rPr>
                    <w:t>33000 m</w:t>
                  </w:r>
                  <w:r w:rsidRPr="00B14896">
                    <w:rPr>
                      <w:rFonts w:asciiTheme="minorHAnsi" w:hAnsiTheme="minorHAnsi" w:cs="Arial"/>
                      <w:bCs/>
                      <w:sz w:val="20"/>
                      <w:szCs w:val="20"/>
                      <w:vertAlign w:val="superscript"/>
                      <w:lang w:val="sr-Latn-CS"/>
                    </w:rPr>
                    <w:t>3</w:t>
                  </w:r>
                  <w:r w:rsidRPr="00B14896">
                    <w:rPr>
                      <w:rFonts w:asciiTheme="minorHAnsi" w:hAnsiTheme="minorHAnsi" w:cs="Arial"/>
                      <w:bCs/>
                      <w:sz w:val="20"/>
                      <w:szCs w:val="20"/>
                      <w:lang w:val="sr-Latn-CS"/>
                    </w:rPr>
                    <w:t>/h.</w:t>
                  </w:r>
                </w:p>
                <w:p w:rsidR="00B14896" w:rsidRPr="00B14896" w:rsidRDefault="00B14896" w:rsidP="00B14896">
                  <w:pPr>
                    <w:numPr>
                      <w:ilvl w:val="0"/>
                      <w:numId w:val="5"/>
                    </w:numPr>
                    <w:rPr>
                      <w:rFonts w:asciiTheme="minorHAnsi" w:hAnsiTheme="minorHAnsi" w:cs="Arial"/>
                      <w:bCs/>
                      <w:sz w:val="20"/>
                      <w:szCs w:val="20"/>
                      <w:lang w:val="sr-Latn-CS"/>
                    </w:rPr>
                  </w:pPr>
                  <w:r w:rsidRPr="00B14896">
                    <w:rPr>
                      <w:rFonts w:asciiTheme="minorHAnsi" w:hAnsiTheme="minorHAnsi" w:cs="Arial"/>
                      <w:bCs/>
                      <w:sz w:val="20"/>
                      <w:szCs w:val="20"/>
                      <w:lang w:val="sr-Cyrl-RS"/>
                    </w:rPr>
                    <w:t>Максимална потрошња кондензата :</w:t>
                  </w:r>
                </w:p>
                <w:p w:rsidR="00B14896" w:rsidRPr="00B14896" w:rsidRDefault="00B14896" w:rsidP="00B14896">
                  <w:pPr>
                    <w:numPr>
                      <w:ilvl w:val="0"/>
                      <w:numId w:val="6"/>
                    </w:numPr>
                    <w:rPr>
                      <w:rFonts w:asciiTheme="minorHAnsi" w:hAnsiTheme="minorHAnsi" w:cs="Arial"/>
                      <w:bCs/>
                      <w:sz w:val="20"/>
                      <w:szCs w:val="20"/>
                      <w:lang w:val="sr-Latn-CS"/>
                    </w:rPr>
                  </w:pPr>
                  <w:r w:rsidRPr="00B14896">
                    <w:rPr>
                      <w:rFonts w:asciiTheme="minorHAnsi" w:hAnsiTheme="minorHAnsi" w:cs="Arial"/>
                      <w:bCs/>
                      <w:sz w:val="20"/>
                      <w:szCs w:val="20"/>
                      <w:lang w:val="sr-Cyrl-RS"/>
                    </w:rPr>
                    <w:t>Дневно 0,15 тона</w:t>
                  </w:r>
                </w:p>
                <w:p w:rsidR="00B14896" w:rsidRPr="00B14896" w:rsidRDefault="00B14896" w:rsidP="00B14896">
                  <w:pPr>
                    <w:numPr>
                      <w:ilvl w:val="0"/>
                      <w:numId w:val="6"/>
                    </w:numPr>
                    <w:rPr>
                      <w:rFonts w:asciiTheme="minorHAnsi" w:hAnsiTheme="minorHAnsi" w:cs="Arial"/>
                      <w:bCs/>
                      <w:sz w:val="20"/>
                      <w:szCs w:val="20"/>
                      <w:lang w:val="sr-Latn-CS"/>
                    </w:rPr>
                  </w:pPr>
                  <w:r w:rsidRPr="00B14896">
                    <w:rPr>
                      <w:rFonts w:asciiTheme="minorHAnsi" w:hAnsiTheme="minorHAnsi" w:cs="Arial"/>
                      <w:bCs/>
                      <w:sz w:val="20"/>
                      <w:szCs w:val="20"/>
                      <w:lang w:val="sr-Cyrl-RS"/>
                    </w:rPr>
                    <w:t>Месечно 5 тона</w:t>
                  </w:r>
                </w:p>
                <w:p w:rsidR="00B14896" w:rsidRPr="00B14896" w:rsidRDefault="00B14896" w:rsidP="00B14896">
                  <w:pPr>
                    <w:numPr>
                      <w:ilvl w:val="0"/>
                      <w:numId w:val="6"/>
                    </w:numPr>
                    <w:rPr>
                      <w:rFonts w:asciiTheme="minorHAnsi" w:hAnsiTheme="minorHAnsi" w:cs="Arial"/>
                      <w:bCs/>
                      <w:sz w:val="20"/>
                      <w:szCs w:val="20"/>
                      <w:lang w:val="sr-Latn-CS"/>
                    </w:rPr>
                  </w:pPr>
                  <w:r w:rsidRPr="00B14896">
                    <w:rPr>
                      <w:rFonts w:asciiTheme="minorHAnsi" w:hAnsiTheme="minorHAnsi" w:cs="Arial"/>
                      <w:bCs/>
                      <w:sz w:val="20"/>
                      <w:szCs w:val="20"/>
                      <w:lang w:val="sr-Cyrl-RS"/>
                    </w:rPr>
                    <w:t>Годишње 60 тона</w:t>
                  </w:r>
                </w:p>
                <w:p w:rsidR="00B14896" w:rsidRPr="00B14896" w:rsidRDefault="00B14896" w:rsidP="00B14896">
                  <w:pPr>
                    <w:ind w:left="10"/>
                    <w:rPr>
                      <w:rFonts w:asciiTheme="minorHAnsi" w:hAnsiTheme="minorHAnsi" w:cs="Arial"/>
                      <w:bCs/>
                      <w:sz w:val="20"/>
                      <w:szCs w:val="20"/>
                      <w:lang w:val="sr-Latn-RS"/>
                    </w:rPr>
                  </w:pPr>
                  <w:r w:rsidRPr="00B14896">
                    <w:rPr>
                      <w:rFonts w:asciiTheme="minorHAnsi" w:hAnsiTheme="minorHAnsi" w:cs="Arial"/>
                      <w:bCs/>
                      <w:sz w:val="20"/>
                      <w:szCs w:val="20"/>
                      <w:lang w:val="sr-Cyrl-RS"/>
                    </w:rPr>
                    <w:t>Количина кондензата која остане не третирана предаје се овлашћеном оператеру</w:t>
                  </w:r>
                  <w:r w:rsidRPr="00B14896">
                    <w:rPr>
                      <w:rFonts w:asciiTheme="minorHAnsi" w:hAnsiTheme="minorHAnsi" w:cs="Arial"/>
                      <w:bCs/>
                      <w:sz w:val="20"/>
                      <w:szCs w:val="20"/>
                      <w:lang w:val="sr-Latn-RS"/>
                    </w:rPr>
                    <w:t xml:space="preserve"> – R13</w:t>
                  </w:r>
                </w:p>
                <w:p w:rsidR="001520E9" w:rsidRPr="00B14896" w:rsidRDefault="001520E9" w:rsidP="00B14896">
                  <w:pPr>
                    <w:ind w:left="10"/>
                    <w:rPr>
                      <w:rFonts w:asciiTheme="minorHAnsi" w:hAnsiTheme="minorHAnsi" w:cstheme="minorHAnsi"/>
                      <w:b/>
                      <w:iCs/>
                      <w:sz w:val="20"/>
                      <w:szCs w:val="20"/>
                      <w:lang w:val="ru-RU"/>
                    </w:rPr>
                  </w:pPr>
                  <w:r w:rsidRPr="00B14896">
                    <w:rPr>
                      <w:rFonts w:asciiTheme="minorHAnsi" w:hAnsiTheme="minorHAnsi" w:cstheme="minorHAnsi"/>
                      <w:b/>
                      <w:iCs/>
                      <w:sz w:val="20"/>
                      <w:szCs w:val="20"/>
                      <w:lang w:val="ru-RU"/>
                    </w:rPr>
                    <w:t>Услови и мере заштите животне средине</w:t>
                  </w:r>
                </w:p>
                <w:p w:rsidR="001520E9" w:rsidRPr="00B14896" w:rsidRDefault="001520E9" w:rsidP="008726F0">
                  <w:pPr>
                    <w:ind w:left="10" w:right="233"/>
                    <w:jc w:val="both"/>
                    <w:rPr>
                      <w:rFonts w:asciiTheme="minorHAnsi" w:hAnsiTheme="minorHAnsi" w:cstheme="minorHAnsi"/>
                      <w:sz w:val="20"/>
                      <w:szCs w:val="20"/>
                      <w:lang w:val="ru-RU"/>
                    </w:rPr>
                  </w:pPr>
                  <w:r w:rsidRPr="00B14896">
                    <w:rPr>
                      <w:rFonts w:asciiTheme="minorHAnsi" w:hAnsiTheme="minorHAnsi" w:cstheme="minorHAnsi"/>
                      <w:sz w:val="20"/>
                      <w:szCs w:val="20"/>
                      <w:lang w:val="ru-RU"/>
                    </w:rPr>
                    <w:t xml:space="preserve">Оператер </w:t>
                  </w:r>
                  <w:r w:rsidR="00B14896" w:rsidRPr="00B14896">
                    <w:rPr>
                      <w:rFonts w:asciiTheme="minorHAnsi" w:hAnsiTheme="minorHAnsi"/>
                      <w:sz w:val="20"/>
                      <w:szCs w:val="20"/>
                    </w:rPr>
                    <w:t>''TARKETT''</w:t>
                  </w:r>
                  <w:r w:rsidR="00B14896" w:rsidRPr="00B14896">
                    <w:rPr>
                      <w:rFonts w:asciiTheme="minorHAnsi" w:hAnsiTheme="minorHAnsi"/>
                      <w:bCs/>
                      <w:sz w:val="20"/>
                      <w:szCs w:val="20"/>
                      <w:lang w:val="sr-Latn-CS"/>
                    </w:rPr>
                    <w:t xml:space="preserve"> ДОО</w:t>
                  </w:r>
                  <w:r w:rsidRPr="00B14896">
                    <w:rPr>
                      <w:rFonts w:asciiTheme="minorHAnsi" w:hAnsiTheme="minorHAnsi" w:cstheme="minorHAnsi"/>
                      <w:sz w:val="20"/>
                      <w:szCs w:val="20"/>
                      <w:lang w:val="ru-RU"/>
                    </w:rPr>
                    <w:t xml:space="preserve">, у току </w:t>
                  </w:r>
                  <w:r w:rsidR="00B14896" w:rsidRPr="00B14896">
                    <w:rPr>
                      <w:rFonts w:asciiTheme="minorHAnsi" w:hAnsiTheme="minorHAnsi" w:cstheme="minorHAnsi"/>
                      <w:sz w:val="20"/>
                      <w:szCs w:val="20"/>
                      <w:lang w:val="ru-RU"/>
                    </w:rPr>
                    <w:t>складиштења и термичког третмана отпадног кондензата</w:t>
                  </w:r>
                  <w:r w:rsidRPr="00B14896">
                    <w:rPr>
                      <w:rFonts w:asciiTheme="minorHAnsi" w:hAnsiTheme="minorHAnsi" w:cstheme="minorHAnsi"/>
                      <w:sz w:val="20"/>
                      <w:szCs w:val="20"/>
                      <w:lang w:val="ru-RU"/>
                    </w:rPr>
                    <w:t xml:space="preserve">, на локацији у </w:t>
                  </w:r>
                  <w:r w:rsidR="00B14896" w:rsidRPr="00B14896">
                    <w:rPr>
                      <w:rFonts w:asciiTheme="minorHAnsi" w:hAnsiTheme="minorHAnsi" w:cstheme="minorHAnsi"/>
                      <w:sz w:val="20"/>
                      <w:szCs w:val="20"/>
                      <w:lang w:val="ru-RU"/>
                    </w:rPr>
                    <w:t>Бачкој Паланци, Индустријска 14,</w:t>
                  </w:r>
                  <w:r w:rsidRPr="00B14896">
                    <w:rPr>
                      <w:rFonts w:asciiTheme="minorHAnsi" w:hAnsiTheme="minorHAnsi" w:cstheme="minorHAnsi"/>
                      <w:sz w:val="20"/>
                      <w:szCs w:val="20"/>
                      <w:lang w:val="ru-RU"/>
                    </w:rPr>
                    <w:t xml:space="preserve"> обезбеђује заштиту животне средине, применом и спровођењем прописа о заштити животне средине, вођењем евиденције на прописан начин о прикупљеним количинама отпада, потрошњи сировина и енергије, испуштању загађујућих материја у ваздух, воду и земљиште, емисије буке, као и контролу активности и рада у циљу спречавања ризика или опасности по животну средину предузимањем мера превенције.</w:t>
                  </w:r>
                </w:p>
                <w:p w:rsidR="001520E9" w:rsidRPr="00B14896" w:rsidRDefault="001520E9" w:rsidP="008726F0">
                  <w:pPr>
                    <w:pStyle w:val="Normal1"/>
                    <w:spacing w:before="0" w:beforeAutospacing="0" w:after="0" w:afterAutospacing="0"/>
                    <w:ind w:left="67" w:right="171"/>
                    <w:rPr>
                      <w:rFonts w:asciiTheme="minorHAnsi" w:hAnsiTheme="minorHAnsi"/>
                      <w:sz w:val="20"/>
                      <w:szCs w:val="20"/>
                    </w:rPr>
                  </w:pPr>
                  <w:r w:rsidRPr="00B14896">
                    <w:rPr>
                      <w:rFonts w:asciiTheme="minorHAnsi" w:hAnsiTheme="minorHAnsi"/>
                      <w:b/>
                      <w:sz w:val="20"/>
                      <w:szCs w:val="20"/>
                    </w:rPr>
                    <w:t>Спречавање удеса и одговор на удес:</w:t>
                  </w:r>
                  <w:r w:rsidRPr="00B14896">
                    <w:rPr>
                      <w:rFonts w:asciiTheme="minorHAnsi" w:hAnsiTheme="minorHAnsi"/>
                      <w:sz w:val="20"/>
                      <w:szCs w:val="20"/>
                      <w:lang w:val="sr-Cyrl-RS"/>
                    </w:rPr>
                    <w:t xml:space="preserve"> У складу са Планом заштите од удеса</w:t>
                  </w:r>
                  <w:r w:rsidRPr="00B14896">
                    <w:rPr>
                      <w:rFonts w:asciiTheme="minorHAnsi" w:hAnsiTheme="minorHAnsi"/>
                      <w:sz w:val="20"/>
                      <w:szCs w:val="20"/>
                    </w:rPr>
                    <w:br/>
                  </w:r>
                  <w:r w:rsidRPr="00B14896">
                    <w:rPr>
                      <w:rFonts w:asciiTheme="minorHAnsi" w:hAnsiTheme="minorHAnsi"/>
                      <w:b/>
                      <w:sz w:val="20"/>
                      <w:szCs w:val="20"/>
                    </w:rPr>
                    <w:t>Мере у случају коначног престанка рада постројења</w:t>
                  </w:r>
                  <w:r w:rsidRPr="00B14896">
                    <w:rPr>
                      <w:rFonts w:asciiTheme="minorHAnsi" w:hAnsiTheme="minorHAnsi"/>
                      <w:sz w:val="20"/>
                      <w:szCs w:val="20"/>
                    </w:rPr>
                    <w:t>:</w:t>
                  </w:r>
                  <w:r w:rsidRPr="00B14896">
                    <w:rPr>
                      <w:rFonts w:asciiTheme="minorHAnsi" w:hAnsiTheme="minorHAnsi"/>
                      <w:sz w:val="20"/>
                      <w:szCs w:val="20"/>
                      <w:lang w:val="sr-Cyrl-RS"/>
                    </w:rPr>
                    <w:t xml:space="preserve"> У складу са достављеним планом затварања постројења</w:t>
                  </w:r>
                </w:p>
                <w:p w:rsidR="001520E9" w:rsidRPr="00B14896" w:rsidRDefault="001520E9" w:rsidP="008726F0">
                  <w:pPr>
                    <w:pStyle w:val="Normal1"/>
                    <w:spacing w:before="0" w:beforeAutospacing="0" w:after="0" w:afterAutospacing="0"/>
                    <w:ind w:left="67" w:right="171"/>
                    <w:rPr>
                      <w:rFonts w:asciiTheme="minorHAnsi" w:hAnsiTheme="minorHAnsi"/>
                      <w:b/>
                      <w:sz w:val="20"/>
                      <w:szCs w:val="20"/>
                    </w:rPr>
                  </w:pPr>
                  <w:r w:rsidRPr="00B14896">
                    <w:rPr>
                      <w:rFonts w:asciiTheme="minorHAnsi" w:hAnsiTheme="minorHAnsi"/>
                      <w:b/>
                      <w:sz w:val="20"/>
                      <w:szCs w:val="20"/>
                    </w:rPr>
                    <w:t xml:space="preserve">Извештавања: </w:t>
                  </w:r>
                </w:p>
                <w:p w:rsidR="001520E9" w:rsidRPr="00B14896" w:rsidRDefault="001520E9" w:rsidP="00E06ED6">
                  <w:pPr>
                    <w:pStyle w:val="Normal1"/>
                    <w:tabs>
                      <w:tab w:val="right" w:pos="9406"/>
                    </w:tabs>
                    <w:spacing w:before="0" w:beforeAutospacing="0" w:after="0" w:afterAutospacing="0"/>
                    <w:ind w:right="60"/>
                    <w:jc w:val="both"/>
                    <w:rPr>
                      <w:rFonts w:asciiTheme="minorHAnsi" w:hAnsiTheme="minorHAnsi" w:cstheme="minorHAnsi"/>
                      <w:sz w:val="20"/>
                      <w:szCs w:val="20"/>
                      <w:lang w:val="ru-RU"/>
                    </w:rPr>
                  </w:pPr>
                  <w:r w:rsidRPr="00B14896">
                    <w:rPr>
                      <w:rFonts w:asciiTheme="minorHAnsi" w:hAnsiTheme="minorHAnsi" w:cstheme="minorHAnsi"/>
                      <w:sz w:val="20"/>
                      <w:szCs w:val="20"/>
                      <w:lang w:val="ru-RU"/>
                    </w:rPr>
                    <w:t xml:space="preserve">Оператер </w:t>
                  </w:r>
                  <w:r w:rsidR="00B14896" w:rsidRPr="00B14896">
                    <w:rPr>
                      <w:rFonts w:asciiTheme="minorHAnsi" w:hAnsiTheme="minorHAnsi"/>
                      <w:sz w:val="20"/>
                      <w:szCs w:val="20"/>
                      <w:lang w:val="sr-Cyrl-CS"/>
                    </w:rPr>
                    <w:t>''TARKETT''</w:t>
                  </w:r>
                  <w:r w:rsidR="00B14896" w:rsidRPr="00B14896">
                    <w:rPr>
                      <w:rFonts w:asciiTheme="minorHAnsi" w:hAnsiTheme="minorHAnsi"/>
                      <w:bCs/>
                      <w:sz w:val="20"/>
                      <w:szCs w:val="20"/>
                      <w:lang w:val="sr-Latn-CS"/>
                    </w:rPr>
                    <w:t xml:space="preserve"> ДОО</w:t>
                  </w:r>
                  <w:r w:rsidRPr="00B14896">
                    <w:rPr>
                      <w:rFonts w:asciiTheme="minorHAnsi" w:hAnsiTheme="minorHAnsi" w:cstheme="minorHAnsi"/>
                      <w:sz w:val="20"/>
                      <w:szCs w:val="20"/>
                      <w:lang w:val="ru-RU"/>
                    </w:rPr>
                    <w:t xml:space="preserve">, се придржава прописане динамике </w:t>
                  </w:r>
                  <w:bookmarkStart w:id="1" w:name="_GoBack"/>
                  <w:r w:rsidRPr="00B14896">
                    <w:rPr>
                      <w:rFonts w:asciiTheme="minorHAnsi" w:hAnsiTheme="minorHAnsi" w:cstheme="minorHAnsi"/>
                      <w:sz w:val="20"/>
                      <w:szCs w:val="20"/>
                      <w:lang w:val="ru-RU"/>
                    </w:rPr>
                    <w:t xml:space="preserve">извештавања према надлежним органима и институцијама у складу са </w:t>
                  </w:r>
                  <w:r w:rsidRPr="00B14896">
                    <w:rPr>
                      <w:rFonts w:asciiTheme="minorHAnsi" w:hAnsiTheme="minorHAnsi" w:cstheme="minorHAnsi"/>
                      <w:sz w:val="20"/>
                      <w:szCs w:val="20"/>
                      <w:lang w:val="sr-Cyrl-RS"/>
                    </w:rPr>
                    <w:t xml:space="preserve">чланом 46. </w:t>
                  </w:r>
                  <w:r w:rsidRPr="00B14896">
                    <w:rPr>
                      <w:rFonts w:asciiTheme="minorHAnsi" w:hAnsiTheme="minorHAnsi" w:cstheme="minorHAnsi"/>
                      <w:sz w:val="20"/>
                      <w:szCs w:val="20"/>
                      <w:lang w:val="ru-RU"/>
                    </w:rPr>
                    <w:t>Закона о управљању отпадом (</w:t>
                  </w:r>
                  <w:r w:rsidRPr="00B14896">
                    <w:rPr>
                      <w:rFonts w:asciiTheme="minorHAnsi" w:hAnsiTheme="minorHAnsi" w:cstheme="minorHAnsi"/>
                      <w:sz w:val="20"/>
                      <w:szCs w:val="20"/>
                      <w:lang w:val="sr-Cyrl-CS"/>
                    </w:rPr>
                    <w:t>''</w:t>
                  </w:r>
                  <w:r w:rsidRPr="00B14896">
                    <w:rPr>
                      <w:rFonts w:asciiTheme="minorHAnsi" w:hAnsiTheme="minorHAnsi" w:cstheme="minorHAnsi"/>
                      <w:sz w:val="20"/>
                      <w:szCs w:val="20"/>
                      <w:lang w:val="ru-RU"/>
                    </w:rPr>
                    <w:t>Службени гласник РС</w:t>
                  </w:r>
                  <w:r w:rsidRPr="00B14896">
                    <w:rPr>
                      <w:rFonts w:asciiTheme="minorHAnsi" w:hAnsiTheme="minorHAnsi" w:cstheme="minorHAnsi"/>
                      <w:sz w:val="20"/>
                      <w:szCs w:val="20"/>
                      <w:lang w:val="sr-Cyrl-CS"/>
                    </w:rPr>
                    <w:t>''</w:t>
                  </w:r>
                  <w:r w:rsidRPr="00B14896">
                    <w:rPr>
                      <w:rFonts w:asciiTheme="minorHAnsi" w:hAnsiTheme="minorHAnsi" w:cstheme="minorHAnsi"/>
                      <w:sz w:val="20"/>
                      <w:szCs w:val="20"/>
                      <w:lang w:val="ru-RU"/>
                    </w:rPr>
                    <w:t>, бр.36/09, 88/10, 14/16,</w:t>
                  </w:r>
                  <w:r w:rsidRPr="00B14896">
                    <w:rPr>
                      <w:rFonts w:asciiTheme="minorHAnsi" w:hAnsiTheme="minorHAnsi" w:cstheme="minorHAnsi"/>
                      <w:sz w:val="20"/>
                      <w:szCs w:val="20"/>
                      <w:lang w:val="sr-Cyrl-RS"/>
                    </w:rPr>
                    <w:t xml:space="preserve"> 95/18-др. Закон и 35/2023</w:t>
                  </w:r>
                  <w:r w:rsidRPr="00B14896">
                    <w:rPr>
                      <w:rFonts w:asciiTheme="minorHAnsi" w:hAnsiTheme="minorHAnsi" w:cstheme="minorHAnsi"/>
                      <w:sz w:val="20"/>
                      <w:szCs w:val="20"/>
                      <w:lang w:val="ru-RU"/>
                    </w:rPr>
                    <w:t>) и посебним прописима.</w:t>
                  </w:r>
                </w:p>
                <w:p w:rsidR="001520E9" w:rsidRPr="00B14896" w:rsidRDefault="001520E9" w:rsidP="00E06ED6">
                  <w:pPr>
                    <w:tabs>
                      <w:tab w:val="right" w:pos="9406"/>
                    </w:tabs>
                    <w:ind w:right="60"/>
                    <w:jc w:val="both"/>
                    <w:rPr>
                      <w:rFonts w:asciiTheme="minorHAnsi" w:hAnsiTheme="minorHAnsi" w:cstheme="minorHAnsi"/>
                      <w:sz w:val="20"/>
                      <w:szCs w:val="20"/>
                      <w:lang w:val="ru-RU"/>
                    </w:rPr>
                  </w:pPr>
                  <w:r w:rsidRPr="00B14896">
                    <w:rPr>
                      <w:rFonts w:asciiTheme="minorHAnsi" w:hAnsiTheme="minorHAnsi" w:cstheme="minorHAnsi"/>
                      <w:sz w:val="20"/>
                      <w:szCs w:val="20"/>
                      <w:lang w:val="ru-RU"/>
                    </w:rPr>
                    <w:t xml:space="preserve">Оператер </w:t>
                  </w:r>
                  <w:r w:rsidR="00B14896" w:rsidRPr="00B14896">
                    <w:rPr>
                      <w:rFonts w:asciiTheme="minorHAnsi" w:hAnsiTheme="minorHAnsi"/>
                      <w:sz w:val="20"/>
                      <w:szCs w:val="20"/>
                    </w:rPr>
                    <w:t>''TARKETT''</w:t>
                  </w:r>
                  <w:r w:rsidR="00B14896" w:rsidRPr="00B14896">
                    <w:rPr>
                      <w:rFonts w:asciiTheme="minorHAnsi" w:hAnsiTheme="minorHAnsi"/>
                      <w:bCs/>
                      <w:sz w:val="20"/>
                      <w:szCs w:val="20"/>
                      <w:lang w:val="sr-Latn-CS"/>
                    </w:rPr>
                    <w:t xml:space="preserve"> ДОО</w:t>
                  </w:r>
                  <w:r w:rsidRPr="00B14896">
                    <w:rPr>
                      <w:rFonts w:asciiTheme="minorHAnsi" w:eastAsia="Cambria" w:hAnsiTheme="minorHAnsi" w:cstheme="minorHAnsi"/>
                      <w:sz w:val="20"/>
                      <w:szCs w:val="20"/>
                      <w:lang w:val="sr-Cyrl-RS"/>
                    </w:rPr>
                    <w:t>,</w:t>
                  </w:r>
                  <w:r w:rsidRPr="00B14896">
                    <w:rPr>
                      <w:rFonts w:asciiTheme="minorHAnsi" w:hAnsiTheme="minorHAnsi" w:cstheme="minorHAnsi"/>
                      <w:sz w:val="20"/>
                      <w:szCs w:val="20"/>
                      <w:lang w:val="ru-RU"/>
                    </w:rPr>
                    <w:t xml:space="preserve"> попуњава Документ о кретању отпада у складу са Правилником о обрасцу Документа о кретању отпада и упутству за његово попуњавање (</w:t>
                  </w:r>
                  <w:r w:rsidRPr="00B14896">
                    <w:rPr>
                      <w:rFonts w:asciiTheme="minorHAnsi" w:hAnsiTheme="minorHAnsi" w:cstheme="minorHAnsi"/>
                      <w:sz w:val="20"/>
                      <w:szCs w:val="20"/>
                    </w:rPr>
                    <w:t>''</w:t>
                  </w:r>
                  <w:r w:rsidRPr="00B14896">
                    <w:rPr>
                      <w:rFonts w:asciiTheme="minorHAnsi" w:hAnsiTheme="minorHAnsi" w:cstheme="minorHAnsi"/>
                      <w:sz w:val="20"/>
                      <w:szCs w:val="20"/>
                      <w:lang w:val="ru-RU"/>
                    </w:rPr>
                    <w:t>Службени гласник РС</w:t>
                  </w:r>
                  <w:r w:rsidRPr="00B14896">
                    <w:rPr>
                      <w:rFonts w:asciiTheme="minorHAnsi" w:hAnsiTheme="minorHAnsi" w:cstheme="minorHAnsi"/>
                      <w:sz w:val="20"/>
                      <w:szCs w:val="20"/>
                    </w:rPr>
                    <w:t>''</w:t>
                  </w:r>
                  <w:r w:rsidRPr="00B14896">
                    <w:rPr>
                      <w:rFonts w:asciiTheme="minorHAnsi" w:hAnsiTheme="minorHAnsi" w:cstheme="minorHAnsi"/>
                      <w:sz w:val="20"/>
                      <w:szCs w:val="20"/>
                      <w:lang w:val="ru-RU"/>
                    </w:rPr>
                    <w:t xml:space="preserve">, бр.114/13) и исти </w:t>
                  </w:r>
                  <w:r w:rsidRPr="00B14896">
                    <w:rPr>
                      <w:rFonts w:asciiTheme="minorHAnsi" w:hAnsiTheme="minorHAnsi" w:cstheme="minorHAnsi"/>
                      <w:b/>
                      <w:sz w:val="20"/>
                      <w:szCs w:val="20"/>
                      <w:lang w:val="ru-RU"/>
                    </w:rPr>
                    <w:t>чува 2 године</w:t>
                  </w:r>
                  <w:r w:rsidRPr="00B14896">
                    <w:rPr>
                      <w:rFonts w:asciiTheme="minorHAnsi" w:hAnsiTheme="minorHAnsi" w:cstheme="minorHAnsi"/>
                      <w:sz w:val="20"/>
                      <w:szCs w:val="20"/>
                      <w:lang w:val="ru-RU"/>
                    </w:rPr>
                    <w:t>.</w:t>
                  </w:r>
                </w:p>
                <w:p w:rsidR="001520E9" w:rsidRPr="00B14896" w:rsidRDefault="001520E9" w:rsidP="00E06ED6">
                  <w:pPr>
                    <w:tabs>
                      <w:tab w:val="right" w:pos="9406"/>
                    </w:tabs>
                    <w:ind w:right="60"/>
                    <w:jc w:val="both"/>
                    <w:rPr>
                      <w:rFonts w:asciiTheme="minorHAnsi" w:hAnsiTheme="minorHAnsi" w:cstheme="minorHAnsi"/>
                      <w:sz w:val="20"/>
                      <w:szCs w:val="20"/>
                      <w:lang w:val="ru-RU"/>
                    </w:rPr>
                  </w:pPr>
                  <w:r w:rsidRPr="00B14896">
                    <w:rPr>
                      <w:rFonts w:asciiTheme="minorHAnsi" w:hAnsiTheme="minorHAnsi" w:cstheme="minorHAnsi"/>
                      <w:sz w:val="20"/>
                      <w:szCs w:val="20"/>
                      <w:lang w:val="ru-RU"/>
                    </w:rPr>
                    <w:t xml:space="preserve">Оператер </w:t>
                  </w:r>
                  <w:r w:rsidR="00B14896" w:rsidRPr="00B14896">
                    <w:rPr>
                      <w:rFonts w:asciiTheme="minorHAnsi" w:hAnsiTheme="minorHAnsi"/>
                      <w:sz w:val="20"/>
                      <w:szCs w:val="20"/>
                    </w:rPr>
                    <w:t>''TARKETT''</w:t>
                  </w:r>
                  <w:r w:rsidR="00B14896" w:rsidRPr="00B14896">
                    <w:rPr>
                      <w:rFonts w:asciiTheme="minorHAnsi" w:hAnsiTheme="minorHAnsi"/>
                      <w:bCs/>
                      <w:sz w:val="20"/>
                      <w:szCs w:val="20"/>
                      <w:lang w:val="sr-Latn-CS"/>
                    </w:rPr>
                    <w:t xml:space="preserve"> ДОО</w:t>
                  </w:r>
                  <w:r w:rsidRPr="00B14896">
                    <w:rPr>
                      <w:rFonts w:asciiTheme="minorHAnsi" w:hAnsiTheme="minorHAnsi" w:cstheme="minorHAnsi"/>
                      <w:sz w:val="20"/>
                      <w:szCs w:val="20"/>
                      <w:lang w:val="ru-RU"/>
                    </w:rPr>
                    <w:t>, извештаје о мониторингу загађујућих материја у ваздух као и извештаје о количинама неопасног отпада шаље надлежном органу. Оператер води и чува дневну еви</w:t>
                  </w:r>
                  <w:r w:rsidR="00B14896" w:rsidRPr="00B14896">
                    <w:rPr>
                      <w:rFonts w:asciiTheme="minorHAnsi" w:hAnsiTheme="minorHAnsi" w:cstheme="minorHAnsi"/>
                      <w:sz w:val="20"/>
                      <w:szCs w:val="20"/>
                      <w:lang w:val="ru-RU"/>
                    </w:rPr>
                    <w:t>денцију о отпаду  (ДЕО 1 и 3</w:t>
                  </w:r>
                  <w:r w:rsidRPr="00B14896">
                    <w:rPr>
                      <w:rFonts w:asciiTheme="minorHAnsi" w:hAnsiTheme="minorHAnsi" w:cstheme="minorHAnsi"/>
                      <w:sz w:val="20"/>
                      <w:szCs w:val="20"/>
                      <w:lang w:val="ru-RU"/>
                    </w:rPr>
                    <w:t>) и доставља редовне го</w:t>
                  </w:r>
                  <w:r w:rsidR="00B14896" w:rsidRPr="00B14896">
                    <w:rPr>
                      <w:rFonts w:asciiTheme="minorHAnsi" w:hAnsiTheme="minorHAnsi" w:cstheme="minorHAnsi"/>
                      <w:sz w:val="20"/>
                      <w:szCs w:val="20"/>
                      <w:lang w:val="ru-RU"/>
                    </w:rPr>
                    <w:t>дишње извештаје (ГИО 1 и 3</w:t>
                  </w:r>
                  <w:r w:rsidRPr="00B14896">
                    <w:rPr>
                      <w:rFonts w:asciiTheme="minorHAnsi" w:hAnsiTheme="minorHAnsi" w:cstheme="minorHAnsi"/>
                      <w:sz w:val="20"/>
                      <w:szCs w:val="20"/>
                      <w:lang w:val="ru-RU"/>
                    </w:rPr>
                    <w:t xml:space="preserve">) Агенцији за животну средину, где се води Национални регистар извора загађења </w:t>
                  </w:r>
                  <w:bookmarkEnd w:id="1"/>
                  <w:r w:rsidRPr="00B14896">
                    <w:rPr>
                      <w:rFonts w:asciiTheme="minorHAnsi" w:hAnsiTheme="minorHAnsi" w:cstheme="minorHAnsi"/>
                      <w:sz w:val="20"/>
                      <w:szCs w:val="20"/>
                      <w:lang w:val="ru-RU"/>
                    </w:rPr>
                    <w:t xml:space="preserve">животне средине. </w:t>
                  </w:r>
                </w:p>
                <w:p w:rsidR="001520E9" w:rsidRPr="00B14896" w:rsidRDefault="001520E9" w:rsidP="008726F0">
                  <w:pPr>
                    <w:tabs>
                      <w:tab w:val="right" w:pos="9406"/>
                    </w:tabs>
                    <w:jc w:val="both"/>
                    <w:rPr>
                      <w:rFonts w:asciiTheme="minorHAnsi" w:hAnsiTheme="minorHAnsi" w:cstheme="minorHAnsi"/>
                      <w:sz w:val="20"/>
                      <w:szCs w:val="20"/>
                      <w:lang w:val="ru-RU"/>
                    </w:rPr>
                  </w:pPr>
                  <w:r w:rsidRPr="00B14896">
                    <w:rPr>
                      <w:rFonts w:asciiTheme="minorHAnsi" w:hAnsiTheme="minorHAnsi" w:cstheme="minorHAnsi"/>
                      <w:sz w:val="20"/>
                      <w:szCs w:val="20"/>
                      <w:lang w:val="ru-RU"/>
                    </w:rPr>
                    <w:t>Оператер за Национални регистар извора загађивања извештава Агенцију за заштиту животне средине о мониторингу загађујућих материја које се емитују у ваздух, воду, подземну воду, земљиште и буку.</w:t>
                  </w:r>
                </w:p>
                <w:p w:rsidR="001520E9" w:rsidRPr="00B14896" w:rsidRDefault="001520E9" w:rsidP="008726F0">
                  <w:pPr>
                    <w:pStyle w:val="Normal1"/>
                    <w:spacing w:before="0" w:beforeAutospacing="0" w:after="0" w:afterAutospacing="0"/>
                    <w:ind w:right="170"/>
                    <w:rPr>
                      <w:rFonts w:asciiTheme="minorHAnsi" w:hAnsiTheme="minorHAnsi"/>
                      <w:sz w:val="20"/>
                      <w:szCs w:val="20"/>
                    </w:rPr>
                  </w:pPr>
                </w:p>
                <w:p w:rsidR="001520E9" w:rsidRPr="00B14896" w:rsidRDefault="001520E9" w:rsidP="008726F0">
                  <w:pPr>
                    <w:pStyle w:val="Normal1"/>
                    <w:rPr>
                      <w:rFonts w:asciiTheme="minorHAnsi" w:hAnsiTheme="minorHAnsi"/>
                      <w:sz w:val="20"/>
                      <w:szCs w:val="20"/>
                    </w:rPr>
                  </w:pPr>
                  <w:r w:rsidRPr="00B14896">
                    <w:rPr>
                      <w:rFonts w:asciiTheme="minorHAnsi" w:hAnsiTheme="minorHAnsi"/>
                      <w:sz w:val="20"/>
                      <w:szCs w:val="20"/>
                    </w:rPr>
                    <w:t xml:space="preserve">  </w:t>
                  </w:r>
                </w:p>
              </w:tc>
            </w:tr>
            <w:tr w:rsidR="001520E9" w:rsidRPr="00B14896" w:rsidTr="008726F0">
              <w:trPr>
                <w:tblCellSpacing w:w="0" w:type="dxa"/>
              </w:trPr>
              <w:tc>
                <w:tcPr>
                  <w:tcW w:w="0" w:type="auto"/>
                  <w:tcBorders>
                    <w:top w:val="outset" w:sz="6" w:space="0" w:color="auto"/>
                    <w:left w:val="outset" w:sz="6" w:space="0" w:color="auto"/>
                    <w:bottom w:val="outset" w:sz="6" w:space="0" w:color="auto"/>
                    <w:right w:val="outset" w:sz="6" w:space="0" w:color="auto"/>
                  </w:tcBorders>
                </w:tcPr>
                <w:p w:rsidR="001520E9" w:rsidRPr="00B14896" w:rsidRDefault="001520E9" w:rsidP="008726F0">
                  <w:pPr>
                    <w:pStyle w:val="normaltd"/>
                    <w:rPr>
                      <w:rFonts w:asciiTheme="minorHAnsi" w:hAnsiTheme="minorHAnsi"/>
                      <w:sz w:val="20"/>
                      <w:szCs w:val="20"/>
                    </w:rPr>
                  </w:pPr>
                </w:p>
              </w:tc>
              <w:tc>
                <w:tcPr>
                  <w:tcW w:w="4799" w:type="pct"/>
                  <w:gridSpan w:val="2"/>
                  <w:tcBorders>
                    <w:top w:val="outset" w:sz="6" w:space="0" w:color="auto"/>
                    <w:left w:val="outset" w:sz="6" w:space="0" w:color="auto"/>
                    <w:bottom w:val="outset" w:sz="6" w:space="0" w:color="auto"/>
                    <w:right w:val="outset" w:sz="6" w:space="0" w:color="auto"/>
                  </w:tcBorders>
                </w:tcPr>
                <w:p w:rsidR="001520E9" w:rsidRPr="00B14896" w:rsidRDefault="001520E9" w:rsidP="008726F0">
                  <w:pPr>
                    <w:pStyle w:val="Normal1"/>
                    <w:rPr>
                      <w:rFonts w:asciiTheme="minorHAnsi" w:hAnsiTheme="minorHAnsi"/>
                      <w:sz w:val="20"/>
                      <w:szCs w:val="20"/>
                    </w:rPr>
                  </w:pPr>
                </w:p>
              </w:tc>
            </w:tr>
          </w:tbl>
          <w:p w:rsidR="001520E9" w:rsidRPr="00B14896" w:rsidRDefault="001520E9" w:rsidP="008726F0">
            <w:pPr>
              <w:pStyle w:val="Normal1"/>
              <w:rPr>
                <w:rFonts w:asciiTheme="minorHAnsi" w:hAnsiTheme="minorHAnsi"/>
                <w:sz w:val="20"/>
                <w:szCs w:val="20"/>
              </w:rPr>
            </w:pPr>
            <w:r w:rsidRPr="00B14896">
              <w:rPr>
                <w:rFonts w:asciiTheme="minorHAnsi" w:hAnsiTheme="minorHAnsi"/>
                <w:sz w:val="20"/>
                <w:szCs w:val="20"/>
              </w:rPr>
              <w:lastRenderedPageBreak/>
              <w:t> </w:t>
            </w:r>
          </w:p>
        </w:tc>
      </w:tr>
    </w:tbl>
    <w:p w:rsidR="001520E9" w:rsidRPr="00B14896" w:rsidRDefault="001520E9" w:rsidP="001520E9">
      <w:pPr>
        <w:pStyle w:val="normalprored"/>
        <w:rPr>
          <w:rFonts w:asciiTheme="minorHAnsi" w:hAnsiTheme="minorHAnsi"/>
          <w:sz w:val="20"/>
          <w:szCs w:val="20"/>
        </w:rPr>
      </w:pPr>
      <w:r w:rsidRPr="00B14896">
        <w:rPr>
          <w:rFonts w:asciiTheme="minorHAnsi" w:hAnsiTheme="minorHAnsi"/>
          <w:sz w:val="20"/>
          <w:szCs w:val="20"/>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05" w:type="dxa"/>
          <w:left w:w="105" w:type="dxa"/>
          <w:bottom w:w="105" w:type="dxa"/>
          <w:right w:w="105" w:type="dxa"/>
        </w:tblCellMar>
        <w:tblLook w:val="04A0" w:firstRow="1" w:lastRow="0" w:firstColumn="1" w:lastColumn="0" w:noHBand="0" w:noVBand="1"/>
      </w:tblPr>
      <w:tblGrid>
        <w:gridCol w:w="9128"/>
      </w:tblGrid>
      <w:tr w:rsidR="001520E9" w:rsidRPr="00B14896" w:rsidTr="008726F0">
        <w:trPr>
          <w:tblCellSpacing w:w="0" w:type="dxa"/>
        </w:trPr>
        <w:tc>
          <w:tcPr>
            <w:tcW w:w="0" w:type="auto"/>
            <w:tcBorders>
              <w:top w:val="nil"/>
              <w:left w:val="nil"/>
              <w:bottom w:val="nil"/>
              <w:right w:val="nil"/>
            </w:tcBorders>
            <w:hideMark/>
          </w:tcPr>
          <w:p w:rsidR="001520E9" w:rsidRPr="00B14896" w:rsidRDefault="001520E9" w:rsidP="008726F0">
            <w:pPr>
              <w:pStyle w:val="Normal1"/>
              <w:rPr>
                <w:rFonts w:asciiTheme="minorHAnsi" w:hAnsiTheme="minorHAnsi"/>
                <w:sz w:val="20"/>
                <w:szCs w:val="20"/>
              </w:rPr>
            </w:pPr>
            <w:r w:rsidRPr="00B14896">
              <w:rPr>
                <w:rFonts w:asciiTheme="minorHAnsi" w:hAnsiTheme="minorHAnsi"/>
                <w:sz w:val="20"/>
                <w:szCs w:val="20"/>
              </w:rPr>
              <w:t xml:space="preserve">  </w:t>
            </w:r>
          </w:p>
          <w:tbl>
            <w:tblPr>
              <w:tblW w:w="8962" w:type="dxa"/>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74"/>
              <w:gridCol w:w="8588"/>
            </w:tblGrid>
            <w:tr w:rsidR="001520E9" w:rsidRPr="00B14896" w:rsidTr="008726F0">
              <w:trPr>
                <w:tblCellSpacing w:w="0" w:type="dxa"/>
              </w:trPr>
              <w:tc>
                <w:tcPr>
                  <w:tcW w:w="199" w:type="pct"/>
                  <w:tcBorders>
                    <w:top w:val="outset" w:sz="6" w:space="0" w:color="auto"/>
                    <w:left w:val="outset" w:sz="6" w:space="0" w:color="auto"/>
                    <w:bottom w:val="outset" w:sz="6" w:space="0" w:color="auto"/>
                    <w:right w:val="outset" w:sz="6" w:space="0" w:color="auto"/>
                  </w:tcBorders>
                  <w:hideMark/>
                </w:tcPr>
                <w:p w:rsidR="001520E9" w:rsidRPr="00B14896" w:rsidRDefault="001520E9" w:rsidP="008726F0">
                  <w:pPr>
                    <w:pStyle w:val="normaltd"/>
                    <w:rPr>
                      <w:rFonts w:asciiTheme="minorHAnsi" w:hAnsiTheme="minorHAnsi"/>
                      <w:sz w:val="20"/>
                      <w:szCs w:val="20"/>
                    </w:rPr>
                  </w:pPr>
                  <w:r w:rsidRPr="00B14896">
                    <w:rPr>
                      <w:rFonts w:asciiTheme="minorHAnsi" w:hAnsiTheme="minorHAnsi"/>
                      <w:sz w:val="20"/>
                      <w:szCs w:val="20"/>
                    </w:rPr>
                    <w:t xml:space="preserve">11. </w:t>
                  </w:r>
                </w:p>
              </w:tc>
              <w:tc>
                <w:tcPr>
                  <w:tcW w:w="4801" w:type="pct"/>
                  <w:tcBorders>
                    <w:top w:val="outset" w:sz="6" w:space="0" w:color="auto"/>
                    <w:left w:val="outset" w:sz="6" w:space="0" w:color="auto"/>
                    <w:bottom w:val="outset" w:sz="6" w:space="0" w:color="auto"/>
                    <w:right w:val="outset" w:sz="6" w:space="0" w:color="auto"/>
                  </w:tcBorders>
                  <w:hideMark/>
                </w:tcPr>
                <w:p w:rsidR="001520E9" w:rsidRPr="00B14896" w:rsidRDefault="001520E9" w:rsidP="00B14896">
                  <w:pPr>
                    <w:pStyle w:val="NormalWeb"/>
                    <w:spacing w:before="100" w:beforeAutospacing="1" w:after="100" w:afterAutospacing="1"/>
                    <w:ind w:left="720"/>
                    <w:jc w:val="both"/>
                    <w:rPr>
                      <w:noProof/>
                      <w:sz w:val="20"/>
                      <w:szCs w:val="20"/>
                      <w:lang w:val="sr-Latn-RS"/>
                    </w:rPr>
                  </w:pPr>
                </w:p>
              </w:tc>
            </w:tr>
            <w:tr w:rsidR="001520E9" w:rsidRPr="00B14896" w:rsidTr="008726F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520E9" w:rsidRPr="00B14896" w:rsidRDefault="001520E9" w:rsidP="008726F0">
                  <w:pPr>
                    <w:pStyle w:val="normaltd"/>
                    <w:rPr>
                      <w:rFonts w:asciiTheme="minorHAnsi" w:hAnsiTheme="minorHAnsi"/>
                      <w:sz w:val="20"/>
                      <w:szCs w:val="20"/>
                    </w:rPr>
                  </w:pPr>
                  <w:r w:rsidRPr="00B14896">
                    <w:rPr>
                      <w:rFonts w:asciiTheme="minorHAnsi" w:hAnsiTheme="minorHAnsi"/>
                      <w:sz w:val="20"/>
                      <w:szCs w:val="20"/>
                    </w:rPr>
                    <w:t xml:space="preserve">12. </w:t>
                  </w:r>
                </w:p>
              </w:tc>
              <w:tc>
                <w:tcPr>
                  <w:tcW w:w="4801" w:type="pct"/>
                  <w:tcBorders>
                    <w:top w:val="outset" w:sz="6" w:space="0" w:color="auto"/>
                    <w:left w:val="outset" w:sz="6" w:space="0" w:color="auto"/>
                    <w:bottom w:val="outset" w:sz="6" w:space="0" w:color="auto"/>
                    <w:right w:val="outset" w:sz="6" w:space="0" w:color="auto"/>
                  </w:tcBorders>
                  <w:hideMark/>
                </w:tcPr>
                <w:p w:rsidR="001520E9" w:rsidRPr="00B14896" w:rsidRDefault="001520E9" w:rsidP="008726F0">
                  <w:pPr>
                    <w:pStyle w:val="Normal1"/>
                    <w:rPr>
                      <w:rFonts w:asciiTheme="minorHAnsi" w:hAnsiTheme="minorHAnsi"/>
                      <w:sz w:val="20"/>
                      <w:szCs w:val="20"/>
                      <w:lang w:val="sr-Cyrl-RS"/>
                    </w:rPr>
                  </w:pPr>
                  <w:r w:rsidRPr="00B14896">
                    <w:rPr>
                      <w:rFonts w:asciiTheme="minorHAnsi" w:hAnsiTheme="minorHAnsi"/>
                      <w:sz w:val="20"/>
                      <w:szCs w:val="20"/>
                      <w:lang w:val="sr-Cyrl-RS"/>
                    </w:rPr>
                    <w:t>Напомене:</w:t>
                  </w:r>
                </w:p>
              </w:tc>
            </w:tr>
          </w:tbl>
          <w:p w:rsidR="001520E9" w:rsidRPr="00B14896" w:rsidRDefault="001520E9" w:rsidP="008726F0">
            <w:pPr>
              <w:pStyle w:val="Normal1"/>
              <w:rPr>
                <w:rFonts w:asciiTheme="minorHAnsi" w:hAnsiTheme="minorHAnsi"/>
                <w:sz w:val="20"/>
                <w:szCs w:val="20"/>
              </w:rPr>
            </w:pPr>
          </w:p>
          <w:p w:rsidR="001520E9" w:rsidRPr="00B14896" w:rsidRDefault="001520E9" w:rsidP="008726F0">
            <w:pPr>
              <w:pStyle w:val="normalcentar"/>
              <w:rPr>
                <w:rFonts w:asciiTheme="minorHAnsi" w:hAnsiTheme="minorHAnsi"/>
                <w:sz w:val="20"/>
                <w:szCs w:val="20"/>
              </w:rPr>
            </w:pPr>
            <w:r w:rsidRPr="00B14896">
              <w:rPr>
                <w:rFonts w:asciiTheme="minorHAnsi" w:hAnsiTheme="minorHAnsi"/>
                <w:sz w:val="20"/>
                <w:szCs w:val="20"/>
                <w:lang w:val="sr-Cyrl-RS"/>
              </w:rPr>
              <w:t>Име и презиме овлашћеног лица</w:t>
            </w:r>
            <w:r w:rsidRPr="00B14896">
              <w:rPr>
                <w:rFonts w:asciiTheme="minorHAnsi" w:hAnsiTheme="minorHAnsi"/>
                <w:sz w:val="20"/>
                <w:szCs w:val="20"/>
              </w:rPr>
              <w:br/>
              <w:t xml:space="preserve">___________________________________________ </w:t>
            </w:r>
          </w:p>
          <w:p w:rsidR="001520E9" w:rsidRPr="00B14896" w:rsidRDefault="001520E9" w:rsidP="008726F0">
            <w:pPr>
              <w:pStyle w:val="Normal1"/>
              <w:rPr>
                <w:rFonts w:asciiTheme="minorHAnsi" w:hAnsiTheme="minorHAnsi"/>
                <w:sz w:val="20"/>
                <w:szCs w:val="20"/>
              </w:rPr>
            </w:pPr>
            <w:r w:rsidRPr="00B14896">
              <w:rPr>
                <w:rFonts w:asciiTheme="minorHAnsi" w:hAnsiTheme="minorHAnsi"/>
                <w:sz w:val="20"/>
                <w:szCs w:val="20"/>
              </w:rPr>
              <w:t xml:space="preserve">  </w:t>
            </w:r>
          </w:p>
          <w:p w:rsidR="001520E9" w:rsidRPr="00B14896" w:rsidRDefault="001520E9" w:rsidP="008726F0">
            <w:pPr>
              <w:pStyle w:val="Normal1"/>
              <w:rPr>
                <w:rFonts w:asciiTheme="minorHAnsi" w:hAnsiTheme="minorHAnsi"/>
                <w:sz w:val="20"/>
                <w:szCs w:val="20"/>
              </w:rPr>
            </w:pPr>
          </w:p>
        </w:tc>
      </w:tr>
    </w:tbl>
    <w:p w:rsidR="001520E9" w:rsidRPr="00B14896" w:rsidRDefault="001520E9" w:rsidP="001520E9">
      <w:pPr>
        <w:rPr>
          <w:rFonts w:asciiTheme="minorHAnsi" w:hAnsiTheme="minorHAnsi"/>
          <w:sz w:val="20"/>
          <w:szCs w:val="20"/>
        </w:rPr>
      </w:pPr>
    </w:p>
    <w:p w:rsidR="00FE4C47" w:rsidRPr="00B14896" w:rsidRDefault="00FE4C47">
      <w:pPr>
        <w:rPr>
          <w:sz w:val="20"/>
          <w:szCs w:val="20"/>
        </w:rPr>
      </w:pPr>
    </w:p>
    <w:sectPr w:rsidR="00FE4C47" w:rsidRPr="00B14896" w:rsidSect="001A7E73">
      <w:pgSz w:w="11906" w:h="16838" w:code="9"/>
      <w:pgMar w:top="1134" w:right="1644" w:bottom="851" w:left="1134" w:header="567"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9196A"/>
    <w:multiLevelType w:val="hybridMultilevel"/>
    <w:tmpl w:val="5F0CC8AA"/>
    <w:lvl w:ilvl="0" w:tplc="C4D24E96">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3435C5"/>
    <w:multiLevelType w:val="hybridMultilevel"/>
    <w:tmpl w:val="14E85B1C"/>
    <w:lvl w:ilvl="0" w:tplc="430EC7CE">
      <w:start w:val="2"/>
      <w:numFmt w:val="bullet"/>
      <w:lvlText w:val="-"/>
      <w:lvlJc w:val="left"/>
      <w:pPr>
        <w:ind w:left="720" w:hanging="360"/>
      </w:pPr>
      <w:rPr>
        <w:rFonts w:ascii="Cambria" w:eastAsia="Cambria" w:hAnsi="Cambria" w:cs="Cambria"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7D7B6E"/>
    <w:multiLevelType w:val="hybridMultilevel"/>
    <w:tmpl w:val="0CC2F2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3262FCE"/>
    <w:multiLevelType w:val="hybridMultilevel"/>
    <w:tmpl w:val="58D42B14"/>
    <w:lvl w:ilvl="0" w:tplc="B5502FE8">
      <w:start w:val="1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1E49D9"/>
    <w:multiLevelType w:val="hybridMultilevel"/>
    <w:tmpl w:val="80F6BB9E"/>
    <w:lvl w:ilvl="0" w:tplc="430EC7CE">
      <w:start w:val="2"/>
      <w:numFmt w:val="bullet"/>
      <w:lvlText w:val="-"/>
      <w:lvlJc w:val="left"/>
      <w:pPr>
        <w:ind w:left="730" w:hanging="360"/>
      </w:pPr>
      <w:rPr>
        <w:rFonts w:ascii="Cambria" w:eastAsia="Cambria" w:hAnsi="Cambria" w:cs="Cambria" w:hint="default"/>
        <w:color w:val="000000"/>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5" w15:restartNumberingAfterBreak="0">
    <w:nsid w:val="71CE379E"/>
    <w:multiLevelType w:val="hybridMultilevel"/>
    <w:tmpl w:val="C66EE48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0E9"/>
    <w:rsid w:val="001520E9"/>
    <w:rsid w:val="002F416A"/>
    <w:rsid w:val="00510303"/>
    <w:rsid w:val="005E4504"/>
    <w:rsid w:val="00683C6D"/>
    <w:rsid w:val="00B14896"/>
    <w:rsid w:val="00BB6D17"/>
    <w:rsid w:val="00E01A22"/>
    <w:rsid w:val="00E06ED6"/>
    <w:rsid w:val="00FB3343"/>
    <w:rsid w:val="00FE4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4E32B"/>
  <w15:chartTrackingRefBased/>
  <w15:docId w15:val="{92235623-CDE6-4C97-A861-F229C7107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20E9"/>
    <w:pPr>
      <w:spacing w:after="0" w:line="240" w:lineRule="auto"/>
    </w:pPr>
    <w:rPr>
      <w:rFonts w:ascii="Times New Roman" w:eastAsia="Times New Roman" w:hAnsi="Times New Roman" w:cs="Times New Roman"/>
      <w:sz w:val="24"/>
      <w:szCs w:val="24"/>
      <w:lang w:val="sr-Cyrl-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hidden/>
    <w:qFormat/>
    <w:rsid w:val="001520E9"/>
    <w:pPr>
      <w:spacing w:after="120"/>
    </w:pPr>
  </w:style>
  <w:style w:type="character" w:customStyle="1" w:styleId="BodyTextChar">
    <w:name w:val="Body Text Char"/>
    <w:basedOn w:val="DefaultParagraphFont"/>
    <w:link w:val="BodyText"/>
    <w:rsid w:val="001520E9"/>
    <w:rPr>
      <w:rFonts w:ascii="Times New Roman" w:eastAsia="Times New Roman" w:hAnsi="Times New Roman" w:cs="Times New Roman"/>
      <w:sz w:val="24"/>
      <w:szCs w:val="24"/>
      <w:lang w:val="sr-Cyrl-CS"/>
    </w:rPr>
  </w:style>
  <w:style w:type="paragraph" w:styleId="BodyTextIndent3">
    <w:name w:val="Body Text Indent 3"/>
    <w:basedOn w:val="Normal"/>
    <w:link w:val="BodyTextIndent3Char"/>
    <w:hidden/>
    <w:rsid w:val="001520E9"/>
    <w:pPr>
      <w:spacing w:after="120"/>
      <w:ind w:left="283"/>
    </w:pPr>
    <w:rPr>
      <w:sz w:val="16"/>
      <w:szCs w:val="16"/>
    </w:rPr>
  </w:style>
  <w:style w:type="character" w:customStyle="1" w:styleId="BodyTextIndent3Char">
    <w:name w:val="Body Text Indent 3 Char"/>
    <w:basedOn w:val="DefaultParagraphFont"/>
    <w:link w:val="BodyTextIndent3"/>
    <w:rsid w:val="001520E9"/>
    <w:rPr>
      <w:rFonts w:ascii="Times New Roman" w:eastAsia="Times New Roman" w:hAnsi="Times New Roman" w:cs="Times New Roman"/>
      <w:sz w:val="16"/>
      <w:szCs w:val="16"/>
      <w:lang w:val="sr-Cyrl-CS"/>
    </w:rPr>
  </w:style>
  <w:style w:type="paragraph" w:styleId="NormalWeb">
    <w:name w:val="Normal (Web)"/>
    <w:basedOn w:val="Normal"/>
    <w:hidden/>
    <w:uiPriority w:val="99"/>
    <w:rsid w:val="001520E9"/>
  </w:style>
  <w:style w:type="paragraph" w:customStyle="1" w:styleId="Normal1">
    <w:name w:val="Normal1"/>
    <w:basedOn w:val="Normal"/>
    <w:link w:val="normalChar"/>
    <w:rsid w:val="001520E9"/>
    <w:pPr>
      <w:spacing w:before="100" w:beforeAutospacing="1" w:after="100" w:afterAutospacing="1"/>
    </w:pPr>
    <w:rPr>
      <w:rFonts w:ascii="Arial" w:hAnsi="Arial" w:cs="Arial"/>
      <w:sz w:val="22"/>
      <w:szCs w:val="22"/>
      <w:lang w:val="en-US"/>
    </w:rPr>
  </w:style>
  <w:style w:type="paragraph" w:customStyle="1" w:styleId="normaltd">
    <w:name w:val="normaltd"/>
    <w:basedOn w:val="Normal"/>
    <w:rsid w:val="001520E9"/>
    <w:pPr>
      <w:spacing w:before="100" w:beforeAutospacing="1" w:after="100" w:afterAutospacing="1"/>
      <w:jc w:val="right"/>
    </w:pPr>
    <w:rPr>
      <w:rFonts w:ascii="Arial" w:hAnsi="Arial" w:cs="Arial"/>
      <w:sz w:val="22"/>
      <w:szCs w:val="22"/>
      <w:lang w:val="en-US"/>
    </w:rPr>
  </w:style>
  <w:style w:type="paragraph" w:customStyle="1" w:styleId="webdings">
    <w:name w:val="webdings"/>
    <w:basedOn w:val="Normal"/>
    <w:rsid w:val="001520E9"/>
    <w:pPr>
      <w:spacing w:before="100" w:beforeAutospacing="1" w:after="100" w:afterAutospacing="1"/>
    </w:pPr>
    <w:rPr>
      <w:rFonts w:ascii="Webdings" w:hAnsi="Webdings"/>
      <w:sz w:val="18"/>
      <w:szCs w:val="18"/>
      <w:lang w:val="en-US"/>
    </w:rPr>
  </w:style>
  <w:style w:type="paragraph" w:customStyle="1" w:styleId="normalcentar">
    <w:name w:val="normalcentar"/>
    <w:basedOn w:val="Normal"/>
    <w:rsid w:val="001520E9"/>
    <w:pPr>
      <w:spacing w:before="100" w:beforeAutospacing="1" w:after="100" w:afterAutospacing="1"/>
      <w:jc w:val="center"/>
    </w:pPr>
    <w:rPr>
      <w:rFonts w:ascii="Arial" w:hAnsi="Arial" w:cs="Arial"/>
      <w:sz w:val="22"/>
      <w:szCs w:val="22"/>
      <w:lang w:val="en-US"/>
    </w:rPr>
  </w:style>
  <w:style w:type="paragraph" w:customStyle="1" w:styleId="normalprored">
    <w:name w:val="normalprored"/>
    <w:basedOn w:val="Normal"/>
    <w:rsid w:val="001520E9"/>
    <w:rPr>
      <w:rFonts w:ascii="Arial" w:hAnsi="Arial" w:cs="Arial"/>
      <w:sz w:val="26"/>
      <w:szCs w:val="26"/>
      <w:lang w:val="en-US"/>
    </w:rPr>
  </w:style>
  <w:style w:type="paragraph" w:customStyle="1" w:styleId="wyq080---odsek">
    <w:name w:val="wyq080---odsek"/>
    <w:basedOn w:val="Normal"/>
    <w:rsid w:val="001520E9"/>
    <w:pPr>
      <w:jc w:val="center"/>
    </w:pPr>
    <w:rPr>
      <w:rFonts w:ascii="Arial" w:hAnsi="Arial" w:cs="Arial"/>
      <w:b/>
      <w:bCs/>
      <w:sz w:val="29"/>
      <w:szCs w:val="29"/>
      <w:lang w:val="en-US"/>
    </w:rPr>
  </w:style>
  <w:style w:type="paragraph" w:styleId="ListParagraph">
    <w:name w:val="List Paragraph"/>
    <w:basedOn w:val="Normal"/>
    <w:link w:val="ListParagraphChar"/>
    <w:uiPriority w:val="34"/>
    <w:qFormat/>
    <w:rsid w:val="001520E9"/>
    <w:pPr>
      <w:spacing w:after="160" w:line="259" w:lineRule="auto"/>
      <w:ind w:left="720"/>
      <w:contextualSpacing/>
    </w:pPr>
    <w:rPr>
      <w:rFonts w:asciiTheme="minorHAnsi" w:eastAsiaTheme="minorHAnsi" w:hAnsiTheme="minorHAnsi" w:cstheme="minorBidi"/>
      <w:sz w:val="22"/>
      <w:szCs w:val="22"/>
      <w:lang w:val="sr-Latn-RS"/>
    </w:rPr>
  </w:style>
  <w:style w:type="paragraph" w:styleId="NoSpacing">
    <w:name w:val="No Spacing"/>
    <w:uiPriority w:val="1"/>
    <w:qFormat/>
    <w:rsid w:val="001520E9"/>
    <w:pPr>
      <w:spacing w:after="0" w:line="240" w:lineRule="auto"/>
    </w:pPr>
    <w:rPr>
      <w:rFonts w:ascii="Calibri" w:eastAsia="Calibri" w:hAnsi="Calibri" w:cs="Times New Roman"/>
    </w:rPr>
  </w:style>
  <w:style w:type="character" w:customStyle="1" w:styleId="normalChar">
    <w:name w:val="normal Char"/>
    <w:link w:val="Normal1"/>
    <w:locked/>
    <w:rsid w:val="001520E9"/>
    <w:rPr>
      <w:rFonts w:ascii="Arial" w:eastAsia="Times New Roman" w:hAnsi="Arial" w:cs="Arial"/>
    </w:rPr>
  </w:style>
  <w:style w:type="table" w:styleId="TableGrid">
    <w:name w:val="Table Grid"/>
    <w:basedOn w:val="TableNormal"/>
    <w:uiPriority w:val="39"/>
    <w:rsid w:val="001520E9"/>
    <w:pPr>
      <w:spacing w:after="0" w:line="240" w:lineRule="auto"/>
    </w:pPr>
    <w:rPr>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1520E9"/>
    <w:rPr>
      <w:lang w:val="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1392</Words>
  <Characters>7940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Miljana Nikolić</dc:creator>
  <cp:keywords/>
  <dc:description/>
  <cp:lastModifiedBy>Miljana Nikolić</cp:lastModifiedBy>
  <cp:revision>3</cp:revision>
  <dcterms:created xsi:type="dcterms:W3CDTF">2024-05-16T11:19:00Z</dcterms:created>
  <dcterms:modified xsi:type="dcterms:W3CDTF">2024-05-16T12:21:00Z</dcterms:modified>
</cp:coreProperties>
</file>