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9ABE7" w14:textId="77777777"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14:paraId="77A4927C" w14:textId="77777777"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14:paraId="7F9494FB" w14:textId="77777777"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14:paraId="02245DCB" w14:textId="77777777"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14:paraId="482EEAEB" w14:textId="77777777"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4AF71FBA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14:paraId="0588F1B3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71AD0C4F" w14:textId="77777777"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16BE19F4" w14:textId="77777777"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15F664CF" w14:textId="77777777"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28861166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39115FC1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25F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48D2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7331EDF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2E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446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745F8F1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8C2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427D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F1C6772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2F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7259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23A28530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337" w14:textId="77777777"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0D71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14:paraId="4DDDADF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3D0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15" w14:textId="77777777"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033FFE50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1A13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24F7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7F2A5CEC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E9BA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53EB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73BC1EC" w14:textId="77777777" w:rsidR="00446E71" w:rsidRPr="002F4BB0" w:rsidRDefault="00446E71" w:rsidP="00035FAF">
      <w:pPr>
        <w:rPr>
          <w:rFonts w:cs="Times New Roman"/>
          <w:szCs w:val="24"/>
        </w:rPr>
      </w:pPr>
    </w:p>
    <w:p w14:paraId="6A8B3BB2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14:paraId="36671113" w14:textId="77777777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E0802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2797" w14:textId="77777777"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729B73B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40E7D786" w14:textId="77777777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B06DA0C" w14:textId="77777777"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9440F5E" w14:textId="77777777" w:rsidR="00446E71" w:rsidRDefault="00446E71" w:rsidP="00035FAF">
      <w:pPr>
        <w:rPr>
          <w:rFonts w:cs="Times New Roman"/>
          <w:szCs w:val="24"/>
          <w:lang w:val="sr-Cyrl-RS"/>
        </w:rPr>
      </w:pPr>
    </w:p>
    <w:p w14:paraId="630E3AE6" w14:textId="77777777"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632268" w14:paraId="10D63611" w14:textId="77777777" w:rsidTr="00035FAF">
        <w:trPr>
          <w:cantSplit/>
        </w:trPr>
        <w:tc>
          <w:tcPr>
            <w:tcW w:w="10890" w:type="dxa"/>
            <w:gridSpan w:val="3"/>
          </w:tcPr>
          <w:p w14:paraId="33F67AC6" w14:textId="77777777"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14:paraId="11D0C304" w14:textId="77777777"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14:paraId="5A69095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4D3D7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F9248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14:paraId="59BBB051" w14:textId="77777777"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FD4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06D3FB4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A318FDD" w14:textId="77777777"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431261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773B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F2704" w14:textId="77777777"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8C81A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B16CD5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2A8E3A0" w14:textId="77777777"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5D266E8B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770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D6589A" w14:textId="77777777"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FEF7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6EF651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CEC37D4" w14:textId="77777777"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F8A054E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C2FC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3F406" w14:textId="77777777"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3FA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78C435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A0C28E8" w14:textId="77777777"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BE70D7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D94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19321B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F964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69A36B62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3D5B8AC2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14:paraId="395E38D3" w14:textId="77777777" w:rsidTr="00035FAF">
        <w:trPr>
          <w:cantSplit/>
        </w:trPr>
        <w:tc>
          <w:tcPr>
            <w:tcW w:w="10890" w:type="dxa"/>
            <w:gridSpan w:val="3"/>
          </w:tcPr>
          <w:p w14:paraId="69FD6C85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14:paraId="3A390AC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060D799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6BEA8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2239" w14:textId="77777777"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14:paraId="39D6D3D4" w14:textId="77777777"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14:paraId="01892DE2" w14:textId="77777777"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DD9E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08FB7CF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8B7B7E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632268" w14:paraId="3EC0A138" w14:textId="77777777" w:rsidTr="00035FAF">
        <w:trPr>
          <w:cantSplit/>
        </w:trPr>
        <w:tc>
          <w:tcPr>
            <w:tcW w:w="10890" w:type="dxa"/>
            <w:gridSpan w:val="3"/>
          </w:tcPr>
          <w:p w14:paraId="4DFEC0D7" w14:textId="77777777"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14:paraId="4138E54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23C7FAD3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5C5AB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D39A4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209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4B537A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724A4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14:paraId="3945A19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E4432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B204F" w14:textId="77777777"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29D350FD" w14:textId="77777777"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CF08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DD12693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BC17F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632268" w14:paraId="1F7E6C44" w14:textId="77777777" w:rsidTr="00035FAF">
        <w:trPr>
          <w:cantSplit/>
        </w:trPr>
        <w:tc>
          <w:tcPr>
            <w:tcW w:w="10890" w:type="dxa"/>
            <w:gridSpan w:val="3"/>
          </w:tcPr>
          <w:p w14:paraId="3F546E34" w14:textId="77777777"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14:paraId="251486A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67ABFD5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3E0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362EA" w14:textId="77777777"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7CE66779" w14:textId="77777777"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7D34" w14:textId="77777777"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15FBF6A8" w14:textId="77777777"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E32386F" w14:textId="77777777"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14:paraId="50CFB7F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19E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1839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E9D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1147023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1ECDF2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668F9B67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A2A5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C64B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092F9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F035A22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A5B7F8" w14:textId="77777777"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28571B3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9B76E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EB7D9" w14:textId="77777777"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E53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EF9193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54A241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632268" w14:paraId="26B2A1D5" w14:textId="77777777" w:rsidTr="00035FAF">
        <w:trPr>
          <w:cantSplit/>
          <w:trHeight w:val="597"/>
        </w:trPr>
        <w:tc>
          <w:tcPr>
            <w:tcW w:w="10890" w:type="dxa"/>
            <w:gridSpan w:val="3"/>
          </w:tcPr>
          <w:p w14:paraId="30BAC6F2" w14:textId="77777777"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14:paraId="086F08D6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14:paraId="29C95B3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722AD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A0675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6BEE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F656155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F53B811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2C8E12E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DFEB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8360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C0C2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11BA5DE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4CB73C38" w14:textId="77777777"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44397E0A" w14:textId="77777777" w:rsidTr="00035FAF">
        <w:trPr>
          <w:cantSplit/>
        </w:trPr>
        <w:tc>
          <w:tcPr>
            <w:tcW w:w="10890" w:type="dxa"/>
            <w:gridSpan w:val="3"/>
          </w:tcPr>
          <w:p w14:paraId="6176EFBE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14:paraId="2AD83A18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16013CF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1EDF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9E37AB" w14:textId="77777777"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A48E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5B9F1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DF2C87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8B0AE7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DCC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321EE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6247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D5C2E3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464C39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13CBB5A1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18B3B" w14:textId="77777777"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E73045" w14:textId="77777777"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BF1B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63721FC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C1F9CB5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632268" w14:paraId="1EDFACDB" w14:textId="77777777" w:rsidTr="00035FAF">
        <w:trPr>
          <w:cantSplit/>
        </w:trPr>
        <w:tc>
          <w:tcPr>
            <w:tcW w:w="10890" w:type="dxa"/>
            <w:gridSpan w:val="3"/>
          </w:tcPr>
          <w:p w14:paraId="0903AE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14:paraId="6D422DB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14:paraId="2AC2C25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010A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F87F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14:paraId="533F01F0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48D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E09A5E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14:paraId="332EF03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0C7E84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5E184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945FD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EE3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C55EF7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7CFFA7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02748E8" w14:textId="77777777" w:rsidR="00E65C8B" w:rsidRDefault="00E65C8B" w:rsidP="00035FAF">
      <w:pPr>
        <w:rPr>
          <w:rFonts w:cs="Times New Roman"/>
          <w:szCs w:val="24"/>
          <w:lang w:val="sr-Cyrl-RS"/>
        </w:rPr>
      </w:pPr>
    </w:p>
    <w:p w14:paraId="3E24C705" w14:textId="77777777" w:rsidR="00FA653C" w:rsidRPr="00FA653C" w:rsidRDefault="00FA653C" w:rsidP="00035FAF">
      <w:pPr>
        <w:rPr>
          <w:sz w:val="2"/>
          <w:szCs w:val="2"/>
        </w:rPr>
      </w:pPr>
    </w:p>
    <w:p w14:paraId="23F3E362" w14:textId="77777777"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14:paraId="5E66F4E6" w14:textId="77777777"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2ECE14A4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14:paraId="32FA9F6F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14:paraId="53C34695" w14:textId="77777777"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05779321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632268" w14:paraId="0B980F85" w14:textId="7777777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A06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B7E" w14:textId="77777777"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14:paraId="50A7CBD3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A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2A3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313D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14:paraId="24E74AC2" w14:textId="77777777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F4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CAC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A4D4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606FEF9B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42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B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657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5B5F3B95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BA5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B7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E926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42BEF376" w14:textId="77777777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8BB" w14:textId="77777777"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14:paraId="2C7B1C27" w14:textId="77777777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81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9F3BBFE" w14:textId="77777777"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266EA" w14:textId="77777777" w:rsidR="002A3072" w:rsidRDefault="002A3072" w:rsidP="002F4BB0">
      <w:r>
        <w:separator/>
      </w:r>
    </w:p>
  </w:endnote>
  <w:endnote w:type="continuationSeparator" w:id="0">
    <w:p w14:paraId="1F13A23D" w14:textId="77777777" w:rsidR="002A3072" w:rsidRDefault="002A3072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F57FF" w14:textId="77777777" w:rsidR="006B1227" w:rsidRDefault="006B1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56B04131" w14:textId="2B4F9430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6B1227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4BC7" w14:textId="77777777" w:rsidR="006B1227" w:rsidRDefault="006B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24EF" w14:textId="77777777" w:rsidR="002A3072" w:rsidRDefault="002A3072" w:rsidP="002F4BB0">
      <w:r>
        <w:separator/>
      </w:r>
    </w:p>
  </w:footnote>
  <w:footnote w:type="continuationSeparator" w:id="0">
    <w:p w14:paraId="657AE491" w14:textId="77777777" w:rsidR="002A3072" w:rsidRDefault="002A3072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3A0BE" w14:textId="77777777" w:rsidR="006B1227" w:rsidRDefault="006B1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0B8F" w14:textId="77777777" w:rsidR="009D321D" w:rsidRDefault="009D321D">
    <w:pPr>
      <w:pStyle w:val="Header"/>
    </w:pPr>
    <w:bookmarkStart w:id="0" w:name="_GoBack"/>
    <w:bookmarkEnd w:id="0"/>
  </w:p>
  <w:tbl>
    <w:tblPr>
      <w:tblW w:w="10818" w:type="dxa"/>
      <w:tblInd w:w="-612" w:type="dxa"/>
      <w:tblLook w:val="04A0" w:firstRow="1" w:lastRow="0" w:firstColumn="1" w:lastColumn="0" w:noHBand="0" w:noVBand="1"/>
    </w:tblPr>
    <w:tblGrid>
      <w:gridCol w:w="2916"/>
      <w:gridCol w:w="4541"/>
      <w:gridCol w:w="3361"/>
    </w:tblGrid>
    <w:tr w:rsidR="006B1227" w:rsidRPr="000A6445" w14:paraId="56FF017C" w14:textId="77777777" w:rsidTr="006B1227">
      <w:trPr>
        <w:trHeight w:val="1088"/>
      </w:trPr>
      <w:tc>
        <w:tcPr>
          <w:tcW w:w="2916" w:type="dxa"/>
        </w:tcPr>
        <w:p w14:paraId="53A91EA2" w14:textId="366EC042" w:rsidR="006B1227" w:rsidRPr="00632268" w:rsidRDefault="006B1227" w:rsidP="006B1227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 w:eastAsia="sr-Latn-RS"/>
            </w:rPr>
          </w:pPr>
          <w:r>
            <w:rPr>
              <w:noProof/>
              <w:color w:val="000000"/>
            </w:rPr>
            <w:drawing>
              <wp:inline distT="0" distB="0" distL="0" distR="0" wp14:anchorId="51D28216" wp14:editId="13D5653B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7C9936BC" w14:textId="77777777" w:rsidR="006B1227" w:rsidRDefault="006B1227" w:rsidP="006B1227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1CD5D43E" w14:textId="77777777" w:rsidR="006B1227" w:rsidRDefault="006B1227" w:rsidP="006B1227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523C116F" w14:textId="77777777" w:rsidR="006B1227" w:rsidRDefault="006B1227" w:rsidP="006B1227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6575B107" w14:textId="77777777" w:rsidR="006B1227" w:rsidRDefault="006B1227" w:rsidP="006B1227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6F155459" w14:textId="77777777" w:rsidR="006B1227" w:rsidRDefault="006B1227" w:rsidP="006B1227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2051CF5F" w14:textId="77777777" w:rsidR="006B1227" w:rsidRDefault="006B1227" w:rsidP="006B1227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7D8D3EDB" w14:textId="77777777" w:rsidR="006B1227" w:rsidRDefault="006B1227" w:rsidP="006B1227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A091F1F" w14:textId="2EB16579" w:rsidR="006B1227" w:rsidRPr="00632268" w:rsidRDefault="006B1227" w:rsidP="006B1227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 w:eastAsia="sr-Latn-R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361" w:type="dxa"/>
          <w:shd w:val="clear" w:color="auto" w:fill="auto"/>
          <w:vAlign w:val="center"/>
        </w:tcPr>
        <w:p w14:paraId="24D98AC9" w14:textId="79768A6B" w:rsidR="006B1227" w:rsidRPr="00632268" w:rsidRDefault="006B1227" w:rsidP="006B1227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Шифра: КЛ-05-02/0</w:t>
          </w:r>
          <w:r w:rsidRPr="00632268">
            <w:rPr>
              <w:rFonts w:eastAsia="Times New Roman" w:cs="Times New Roman"/>
              <w:b/>
              <w:szCs w:val="24"/>
              <w:lang w:val="sr-Cyrl-RS" w:eastAsia="sr-Latn-RS"/>
            </w:rPr>
            <w:t>4</w:t>
          </w:r>
        </w:p>
        <w:p w14:paraId="4606DA1F" w14:textId="77777777" w:rsidR="006B1227" w:rsidRPr="00632268" w:rsidRDefault="006B1227" w:rsidP="006B1227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632268">
            <w:rPr>
              <w:rFonts w:eastAsia="Times New Roman" w:cs="Times New Roman"/>
              <w:b/>
              <w:szCs w:val="24"/>
              <w:lang w:val="sr-Cyrl-RS"/>
            </w:rPr>
            <w:t>Датум: 03</w:t>
          </w:r>
          <w:r w:rsidRPr="00632268">
            <w:rPr>
              <w:rFonts w:eastAsia="Times New Roman" w:cs="Times New Roman"/>
              <w:b/>
              <w:szCs w:val="24"/>
            </w:rPr>
            <w:t>.1</w:t>
          </w:r>
          <w:r w:rsidRPr="00632268">
            <w:rPr>
              <w:rFonts w:eastAsia="Times New Roman" w:cs="Times New Roman"/>
              <w:b/>
              <w:szCs w:val="24"/>
              <w:lang w:val="sr-Cyrl-RS"/>
            </w:rPr>
            <w:t>1</w:t>
          </w:r>
          <w:r w:rsidRPr="00632268">
            <w:rPr>
              <w:rFonts w:eastAsia="Times New Roman" w:cs="Times New Roman"/>
              <w:b/>
              <w:szCs w:val="24"/>
            </w:rPr>
            <w:t>.202</w:t>
          </w:r>
          <w:r w:rsidRPr="00632268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Pr="00632268">
            <w:rPr>
              <w:rFonts w:eastAsia="Times New Roman" w:cs="Times New Roman"/>
              <w:b/>
              <w:szCs w:val="24"/>
            </w:rPr>
            <w:t>.</w:t>
          </w:r>
        </w:p>
        <w:p w14:paraId="48AE04E8" w14:textId="3DC357DC" w:rsidR="006B1227" w:rsidRPr="00632268" w:rsidRDefault="006B1227" w:rsidP="006B1227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Cyrl-RS" w:eastAsia="sr-Latn-RS"/>
            </w:rPr>
            <w:t>ИНД</w:t>
          </w:r>
        </w:p>
      </w:tc>
    </w:tr>
  </w:tbl>
  <w:p w14:paraId="0FE8DDA6" w14:textId="77777777" w:rsidR="009D321D" w:rsidRDefault="009D3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E967" w14:textId="77777777" w:rsidR="006B1227" w:rsidRDefault="006B12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A3072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2268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1227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2CA15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94AC-FCE0-425A-B2C6-84CEDF69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Imre Jenovai</cp:lastModifiedBy>
  <cp:revision>6</cp:revision>
  <dcterms:created xsi:type="dcterms:W3CDTF">2022-12-09T13:09:00Z</dcterms:created>
  <dcterms:modified xsi:type="dcterms:W3CDTF">2023-12-22T11:38:00Z</dcterms:modified>
</cp:coreProperties>
</file>